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121" w:rsidRPr="000D56B0" w:rsidRDefault="007A2121" w:rsidP="003C0589">
      <w:pPr>
        <w:autoSpaceDE w:val="0"/>
        <w:autoSpaceDN w:val="0"/>
        <w:bidi w:val="0"/>
        <w:adjustRightInd w:val="0"/>
        <w:spacing w:after="0" w:line="240" w:lineRule="auto"/>
        <w:ind w:right="-483"/>
        <w:rPr>
          <w:rFonts w:ascii="AGaramond-Regular" w:hAnsi="AGaramond-Regular" w:cs="AGaramond-Regular"/>
          <w:b/>
          <w:bCs/>
          <w:sz w:val="24"/>
          <w:szCs w:val="24"/>
        </w:rPr>
      </w:pPr>
      <w:r w:rsidRPr="000D56B0">
        <w:rPr>
          <w:rFonts w:ascii="AGaramond-Regular" w:hAnsi="AGaramond-Regular" w:cs="AGaramond-Regular"/>
          <w:b/>
          <w:bCs/>
          <w:sz w:val="24"/>
          <w:szCs w:val="24"/>
        </w:rPr>
        <w:t>CD39 Expression on T Lymphocytes Correlates With Severity</w:t>
      </w:r>
    </w:p>
    <w:p w:rsidR="007A2121" w:rsidRPr="000D56B0" w:rsidRDefault="007A2121" w:rsidP="003C0589">
      <w:pPr>
        <w:autoSpaceDE w:val="0"/>
        <w:autoSpaceDN w:val="0"/>
        <w:bidi w:val="0"/>
        <w:adjustRightInd w:val="0"/>
        <w:spacing w:after="0" w:line="240" w:lineRule="auto"/>
        <w:ind w:right="-483"/>
        <w:rPr>
          <w:rFonts w:ascii="AGaramond-Regular" w:hAnsi="AGaramond-Regular" w:cs="AGaramond-Regular"/>
          <w:b/>
          <w:bCs/>
          <w:sz w:val="24"/>
          <w:szCs w:val="24"/>
        </w:rPr>
      </w:pPr>
      <w:r w:rsidRPr="000D56B0">
        <w:rPr>
          <w:rFonts w:ascii="AGaramond-Regular" w:hAnsi="AGaramond-Regular" w:cs="AGaramond-Regular"/>
          <w:b/>
          <w:bCs/>
          <w:sz w:val="24"/>
          <w:szCs w:val="24"/>
        </w:rPr>
        <w:t xml:space="preserve"> of Disease in Patients With Chronic                          </w:t>
      </w:r>
    </w:p>
    <w:p w:rsidR="007A2121" w:rsidRPr="00380A7F" w:rsidRDefault="007A2121" w:rsidP="00380A7F">
      <w:pPr>
        <w:autoSpaceDE w:val="0"/>
        <w:autoSpaceDN w:val="0"/>
        <w:bidi w:val="0"/>
        <w:adjustRightInd w:val="0"/>
        <w:spacing w:after="0" w:line="240" w:lineRule="auto"/>
        <w:ind w:right="-483"/>
        <w:jc w:val="center"/>
        <w:rPr>
          <w:rFonts w:ascii="AGaramond-Regular" w:hAnsi="AGaramond-Regular" w:cs="AGaramond-Regular"/>
          <w:sz w:val="28"/>
          <w:szCs w:val="28"/>
        </w:rPr>
      </w:pPr>
    </w:p>
    <w:p w:rsidR="007A2121" w:rsidRPr="000D56B0" w:rsidRDefault="000D56B0" w:rsidP="000D56B0">
      <w:pPr>
        <w:ind w:right="-90"/>
        <w:jc w:val="right"/>
        <w:rPr>
          <w:rFonts w:asciiTheme="majorBidi" w:hAnsiTheme="majorBidi" w:cstheme="majorBidi"/>
          <w:b/>
          <w:bCs/>
          <w:sz w:val="20"/>
          <w:szCs w:val="20"/>
          <w:rtl/>
          <w:lang w:bidi="ar-EG"/>
        </w:rPr>
      </w:pPr>
      <w:r>
        <w:rPr>
          <w:rFonts w:asciiTheme="majorBidi" w:hAnsiTheme="majorBidi" w:cstheme="majorBidi"/>
          <w:sz w:val="28"/>
          <w:szCs w:val="28"/>
          <w:lang w:bidi="ar-EG"/>
        </w:rPr>
        <w:t xml:space="preserve"> </w:t>
      </w:r>
      <w:r w:rsidR="00380A7F">
        <w:rPr>
          <w:rFonts w:asciiTheme="majorBidi" w:hAnsiTheme="majorBidi" w:cstheme="majorBidi"/>
          <w:sz w:val="28"/>
          <w:szCs w:val="28"/>
          <w:lang w:bidi="ar-EG"/>
        </w:rPr>
        <w:t xml:space="preserve"> </w:t>
      </w:r>
      <w:r w:rsidR="007A2121" w:rsidRPr="000D56B0">
        <w:rPr>
          <w:rFonts w:asciiTheme="majorBidi" w:hAnsiTheme="majorBidi" w:cstheme="majorBidi"/>
          <w:b/>
          <w:bCs/>
          <w:sz w:val="20"/>
          <w:szCs w:val="20"/>
          <w:lang w:bidi="ar-EG"/>
        </w:rPr>
        <w:t>Hasnaa. A. Abo- Elwafa</w:t>
      </w:r>
      <w:r w:rsidR="00006130">
        <w:rPr>
          <w:rFonts w:asciiTheme="majorBidi" w:hAnsiTheme="majorBidi" w:cstheme="majorBidi"/>
          <w:b/>
          <w:bCs/>
          <w:sz w:val="20"/>
          <w:szCs w:val="20"/>
          <w:lang w:bidi="ar-EG"/>
        </w:rPr>
        <w:t xml:space="preserve"> </w:t>
      </w:r>
      <w:r w:rsidR="007A2121" w:rsidRPr="000D56B0">
        <w:rPr>
          <w:rFonts w:asciiTheme="majorBidi" w:hAnsiTheme="majorBidi" w:cstheme="majorBidi"/>
          <w:b/>
          <w:bCs/>
          <w:sz w:val="20"/>
          <w:szCs w:val="20"/>
          <w:lang w:bidi="ar-EG"/>
        </w:rPr>
        <w:t>, Ahmed. N. Mohammed</w:t>
      </w:r>
      <w:r w:rsidR="00006130">
        <w:rPr>
          <w:rFonts w:asciiTheme="majorBidi" w:hAnsiTheme="majorBidi" w:cstheme="majorBidi"/>
          <w:b/>
          <w:bCs/>
          <w:sz w:val="20"/>
          <w:szCs w:val="20"/>
          <w:lang w:bidi="ar-EG"/>
        </w:rPr>
        <w:t xml:space="preserve"> </w:t>
      </w:r>
      <w:r w:rsidR="007A2121" w:rsidRPr="000D56B0">
        <w:rPr>
          <w:rFonts w:asciiTheme="majorBidi" w:hAnsiTheme="majorBidi" w:cstheme="majorBidi"/>
          <w:b/>
          <w:bCs/>
          <w:sz w:val="20"/>
          <w:szCs w:val="20"/>
          <w:lang w:bidi="ar-EG"/>
        </w:rPr>
        <w:t>, Eman .H. Ali,</w:t>
      </w:r>
      <w:r w:rsidR="00006130">
        <w:rPr>
          <w:rFonts w:asciiTheme="majorBidi" w:hAnsiTheme="majorBidi" w:cstheme="majorBidi"/>
          <w:b/>
          <w:bCs/>
          <w:sz w:val="20"/>
          <w:szCs w:val="20"/>
          <w:lang w:bidi="ar-EG"/>
        </w:rPr>
        <w:t xml:space="preserve"> </w:t>
      </w:r>
      <w:r w:rsidR="006674B4">
        <w:rPr>
          <w:rFonts w:asciiTheme="majorBidi" w:hAnsiTheme="majorBidi" w:cstheme="majorBidi"/>
          <w:b/>
          <w:bCs/>
          <w:sz w:val="20"/>
          <w:szCs w:val="20"/>
          <w:lang w:bidi="ar-EG"/>
        </w:rPr>
        <w:t>Tamer. M.Abdellatef</w:t>
      </w:r>
      <w:r w:rsidR="00006130">
        <w:rPr>
          <w:rFonts w:asciiTheme="majorBidi" w:hAnsiTheme="majorBidi" w:cstheme="majorBidi"/>
          <w:b/>
          <w:bCs/>
          <w:sz w:val="20"/>
          <w:szCs w:val="20"/>
          <w:lang w:bidi="ar-EG"/>
        </w:rPr>
        <w:t xml:space="preserve"> </w:t>
      </w:r>
      <w:r w:rsidR="006674B4">
        <w:rPr>
          <w:rFonts w:asciiTheme="majorBidi" w:hAnsiTheme="majorBidi" w:cstheme="majorBidi"/>
          <w:b/>
          <w:bCs/>
          <w:sz w:val="20"/>
          <w:szCs w:val="20"/>
          <w:lang w:bidi="ar-EG"/>
        </w:rPr>
        <w:t>,</w:t>
      </w:r>
      <w:r w:rsidR="007A2121" w:rsidRPr="000D56B0">
        <w:rPr>
          <w:rFonts w:asciiTheme="majorBidi" w:hAnsiTheme="majorBidi" w:cstheme="majorBidi"/>
          <w:b/>
          <w:bCs/>
          <w:sz w:val="20"/>
          <w:szCs w:val="20"/>
          <w:lang w:bidi="ar-EG"/>
        </w:rPr>
        <w:t xml:space="preserve"> Marwa. A. Mahmoud</w:t>
      </w:r>
    </w:p>
    <w:p w:rsidR="007A2121" w:rsidRPr="00380A7F" w:rsidRDefault="00380A7F" w:rsidP="000D56B0">
      <w:pPr>
        <w:jc w:val="right"/>
        <w:rPr>
          <w:rFonts w:ascii="Times New Roman" w:eastAsia="Times New Roman" w:hAnsi="Times New Roman" w:cs="Times New Roman"/>
          <w:color w:val="111111"/>
          <w:sz w:val="24"/>
          <w:szCs w:val="24"/>
          <w:u w:val="single"/>
        </w:rPr>
      </w:pPr>
      <w:r>
        <w:rPr>
          <w:rFonts w:asciiTheme="majorBidi" w:hAnsiTheme="majorBidi" w:cstheme="majorBidi"/>
          <w:sz w:val="36"/>
          <w:szCs w:val="36"/>
          <w:lang w:bidi="ar-EG"/>
        </w:rPr>
        <w:t xml:space="preserve"> </w:t>
      </w:r>
      <w:r w:rsidR="007A2121" w:rsidRPr="000D56B0">
        <w:rPr>
          <w:rFonts w:ascii="Times New Roman" w:eastAsia="Times New Roman" w:hAnsi="Times New Roman" w:cs="Times New Roman"/>
          <w:b/>
          <w:bCs/>
          <w:sz w:val="24"/>
          <w:szCs w:val="24"/>
          <w:u w:val="single"/>
          <w:lang w:bidi="ar-EG"/>
        </w:rPr>
        <w:t>Abstract:</w:t>
      </w:r>
      <w:r>
        <w:rPr>
          <w:rFonts w:ascii="Times New Roman" w:eastAsia="Times New Roman" w:hAnsi="Times New Roman" w:cs="Times New Roman"/>
          <w:color w:val="111111"/>
          <w:sz w:val="24"/>
          <w:szCs w:val="24"/>
          <w:u w:val="single"/>
        </w:rPr>
        <w:t xml:space="preserve"> </w:t>
      </w:r>
    </w:p>
    <w:p w:rsidR="00380A7F" w:rsidRPr="00DF7EB4" w:rsidRDefault="007A2121" w:rsidP="00DF7EB4">
      <w:pPr>
        <w:jc w:val="right"/>
        <w:rPr>
          <w:rFonts w:asciiTheme="majorBidi" w:hAnsiTheme="majorBidi" w:cstheme="majorBidi"/>
        </w:rPr>
      </w:pPr>
      <w:r w:rsidRPr="00DF7EB4">
        <w:rPr>
          <w:rFonts w:asciiTheme="majorBidi" w:hAnsiTheme="majorBidi" w:cstheme="majorBidi"/>
        </w:rPr>
        <w:t xml:space="preserve">Chronic lymphoid leukemia (CLL), is the most common type of leukemia (a type of cancer of the white blood cells) in adults </w:t>
      </w:r>
      <w:r w:rsidRPr="00DF7EB4">
        <w:rPr>
          <w:rFonts w:asciiTheme="majorBidi" w:hAnsiTheme="majorBidi" w:cstheme="majorBidi"/>
          <w:color w:val="000000"/>
        </w:rPr>
        <w:t>representing 25%-30% of all leukemias,</w:t>
      </w:r>
      <w:r w:rsidR="009509C1" w:rsidRPr="00DF7EB4">
        <w:rPr>
          <w:rFonts w:asciiTheme="majorBidi" w:hAnsiTheme="majorBidi" w:cstheme="majorBidi"/>
          <w:color w:val="000000"/>
        </w:rPr>
        <w:t xml:space="preserve"> </w:t>
      </w:r>
      <w:r w:rsidR="009509C1" w:rsidRPr="00DF7EB4">
        <w:rPr>
          <w:rFonts w:asciiTheme="majorBidi" w:hAnsiTheme="majorBidi" w:cstheme="majorBidi"/>
        </w:rPr>
        <w:t>CLL is a disease of adults. Most (&gt;75%) people newly diagnosed with CLL are over the age of 50, and the majority are men,</w:t>
      </w:r>
      <w:r w:rsidRPr="00DF7EB4">
        <w:rPr>
          <w:rFonts w:asciiTheme="majorBidi" w:hAnsiTheme="majorBidi" w:cstheme="majorBidi"/>
          <w:color w:val="000000"/>
        </w:rPr>
        <w:t xml:space="preserve"> The leukemia is characterized by a clonal expansion of long-lived</w:t>
      </w:r>
      <w:r w:rsidR="009A3F09" w:rsidRPr="00DF7EB4">
        <w:rPr>
          <w:rFonts w:asciiTheme="majorBidi" w:hAnsiTheme="majorBidi" w:cstheme="majorBidi"/>
          <w:color w:val="000000"/>
        </w:rPr>
        <w:t xml:space="preserve"> </w:t>
      </w:r>
      <w:r w:rsidRPr="00DF7EB4">
        <w:rPr>
          <w:rFonts w:asciiTheme="majorBidi" w:hAnsiTheme="majorBidi" w:cstheme="majorBidi"/>
          <w:color w:val="000000"/>
        </w:rPr>
        <w:t xml:space="preserve"> mature-appearing B lymphocytes that co-express the CD5, CD19, and CD23 surface antigens.CD39 (ectonucleotidase, NTDPase1) is an ADPase found on the surface of endothelial cells, normal lymphocytes</w:t>
      </w:r>
      <w:r w:rsidR="002D7896" w:rsidRPr="00DF7EB4">
        <w:rPr>
          <w:rFonts w:asciiTheme="majorBidi" w:hAnsiTheme="majorBidi" w:cstheme="majorBidi"/>
          <w:color w:val="000000"/>
        </w:rPr>
        <w:t xml:space="preserve"> </w:t>
      </w:r>
      <w:r w:rsidRPr="00DF7EB4">
        <w:rPr>
          <w:rFonts w:asciiTheme="majorBidi" w:hAnsiTheme="majorBidi" w:cstheme="majorBidi"/>
          <w:color w:val="000000"/>
        </w:rPr>
        <w:t xml:space="preserve"> and other leukocytes</w:t>
      </w:r>
      <w:r w:rsidR="009509C1" w:rsidRPr="00DF7EB4">
        <w:rPr>
          <w:rFonts w:asciiTheme="majorBidi" w:hAnsiTheme="majorBidi" w:cstheme="majorBidi"/>
          <w:color w:val="000000"/>
        </w:rPr>
        <w:t>, Its principal function on the endothelial cell surface is to decrease platelet activation and recruitment by metabolizing platelet-released adenosine diphosphate (ADP). In leukocytes the enzyme has a variety of</w:t>
      </w:r>
      <w:r w:rsidR="002D7896" w:rsidRPr="00DF7EB4">
        <w:rPr>
          <w:rFonts w:asciiTheme="majorBidi" w:hAnsiTheme="majorBidi" w:cstheme="majorBidi"/>
          <w:color w:val="000000"/>
        </w:rPr>
        <w:t xml:space="preserve"> </w:t>
      </w:r>
      <w:r w:rsidR="009509C1" w:rsidRPr="00DF7EB4">
        <w:rPr>
          <w:rFonts w:asciiTheme="majorBidi" w:hAnsiTheme="majorBidi" w:cstheme="majorBidi"/>
          <w:color w:val="000000"/>
        </w:rPr>
        <w:t xml:space="preserve"> other direct or indirect effects as well, including modulation of cytokine expression and the inflammatory r</w:t>
      </w:r>
      <w:r w:rsidR="006F1760" w:rsidRPr="00DF7EB4">
        <w:rPr>
          <w:rFonts w:asciiTheme="majorBidi" w:hAnsiTheme="majorBidi" w:cstheme="majorBidi"/>
          <w:color w:val="000000"/>
        </w:rPr>
        <w:t>esponse. The aim of this study</w:t>
      </w:r>
      <w:r w:rsidR="009509C1" w:rsidRPr="00DF7EB4">
        <w:rPr>
          <w:rFonts w:asciiTheme="majorBidi" w:hAnsiTheme="majorBidi" w:cstheme="majorBidi"/>
          <w:color w:val="000000"/>
        </w:rPr>
        <w:t xml:space="preserve"> to review the role  CD39  in patients with chronic lymphocytic leukemia  and correlate it with the severity of the disease.</w:t>
      </w:r>
      <w:r w:rsidR="009509C1" w:rsidRPr="00DF7EB4">
        <w:rPr>
          <w:rFonts w:asciiTheme="majorBidi" w:hAnsiTheme="majorBidi" w:cstheme="majorBidi"/>
        </w:rPr>
        <w:t xml:space="preserve"> A total of </w:t>
      </w:r>
      <w:r w:rsidR="002D7896" w:rsidRPr="00DF7EB4">
        <w:rPr>
          <w:rFonts w:asciiTheme="majorBidi" w:hAnsiTheme="majorBidi" w:cstheme="majorBidi"/>
        </w:rPr>
        <w:t>5</w:t>
      </w:r>
      <w:r w:rsidR="009509C1" w:rsidRPr="00DF7EB4">
        <w:rPr>
          <w:rFonts w:asciiTheme="majorBidi" w:hAnsiTheme="majorBidi" w:cstheme="majorBidi"/>
        </w:rPr>
        <w:t xml:space="preserve"> papers were obtained using the mentioned keywords in the research of all internet-based databases. The total number of cases in all of the studies was 716 cases.The mean age was recorded in </w:t>
      </w:r>
      <w:r w:rsidR="002D7896" w:rsidRPr="00DF7EB4">
        <w:rPr>
          <w:rFonts w:asciiTheme="majorBidi" w:hAnsiTheme="majorBidi" w:cstheme="majorBidi"/>
        </w:rPr>
        <w:t>5</w:t>
      </w:r>
      <w:r w:rsidR="009509C1" w:rsidRPr="00DF7EB4">
        <w:rPr>
          <w:rFonts w:asciiTheme="majorBidi" w:hAnsiTheme="majorBidi" w:cstheme="majorBidi"/>
        </w:rPr>
        <w:t xml:space="preserve"> papers</w:t>
      </w:r>
      <w:r w:rsidR="00380A7F" w:rsidRPr="00DF7EB4">
        <w:rPr>
          <w:rFonts w:asciiTheme="majorBidi" w:hAnsiTheme="majorBidi" w:cstheme="majorBidi"/>
        </w:rPr>
        <w:t xml:space="preserve"> was 64.7 years.</w:t>
      </w:r>
      <w:r w:rsidR="002D7896" w:rsidRPr="00DF7EB4">
        <w:rPr>
          <w:rFonts w:asciiTheme="majorBidi" w:hAnsiTheme="majorBidi" w:cstheme="majorBidi"/>
        </w:rPr>
        <w:t xml:space="preserve"> </w:t>
      </w:r>
      <w:r w:rsidR="009509C1" w:rsidRPr="00DF7EB4">
        <w:rPr>
          <w:rFonts w:asciiTheme="majorBidi" w:hAnsiTheme="majorBidi" w:cstheme="majorBidi"/>
        </w:rPr>
        <w:t xml:space="preserve">There are different method of detection of </w:t>
      </w:r>
      <w:r w:rsidR="00380A7F" w:rsidRPr="00DF7EB4">
        <w:rPr>
          <w:rFonts w:asciiTheme="majorBidi" w:hAnsiTheme="majorBidi" w:cstheme="majorBidi"/>
          <w:color w:val="000000"/>
        </w:rPr>
        <w:t>CD39</w:t>
      </w:r>
      <w:r w:rsidR="009509C1" w:rsidRPr="00DF7EB4">
        <w:rPr>
          <w:rFonts w:asciiTheme="majorBidi" w:hAnsiTheme="majorBidi" w:cstheme="majorBidi"/>
        </w:rPr>
        <w:t xml:space="preserve"> in different studies such as flow cytometry</w:t>
      </w:r>
      <w:r w:rsidR="00380A7F" w:rsidRPr="00DF7EB4">
        <w:rPr>
          <w:rFonts w:asciiTheme="majorBidi" w:hAnsiTheme="majorBidi" w:cstheme="majorBidi"/>
        </w:rPr>
        <w:t xml:space="preserve"> and</w:t>
      </w:r>
      <w:r w:rsidR="009509C1" w:rsidRPr="00DF7EB4">
        <w:rPr>
          <w:rFonts w:asciiTheme="majorBidi" w:eastAsia="Times New Roman" w:hAnsiTheme="majorBidi" w:cstheme="majorBidi"/>
          <w:color w:val="131413"/>
        </w:rPr>
        <w:t xml:space="preserve"> </w:t>
      </w:r>
      <w:r w:rsidR="00380A7F" w:rsidRPr="00DF7EB4">
        <w:rPr>
          <w:rFonts w:asciiTheme="majorBidi" w:hAnsiTheme="majorBidi" w:cstheme="majorBidi"/>
        </w:rPr>
        <w:t>immunohistochimistry</w:t>
      </w:r>
      <w:r w:rsidR="00380A7F" w:rsidRPr="00DF7EB4">
        <w:rPr>
          <w:rFonts w:asciiTheme="majorBidi" w:eastAsia="Times New Roman" w:hAnsiTheme="majorBidi" w:cstheme="majorBidi"/>
          <w:color w:val="131413"/>
        </w:rPr>
        <w:t xml:space="preserve"> .</w:t>
      </w:r>
    </w:p>
    <w:p w:rsidR="002D7896" w:rsidRPr="00DF7EB4" w:rsidRDefault="00380A7F" w:rsidP="00ED119F">
      <w:pPr>
        <w:jc w:val="right"/>
        <w:rPr>
          <w:rFonts w:ascii="Times New Roman" w:eastAsia="Times New Roman" w:hAnsi="Times New Roman" w:cs="Times New Roman"/>
          <w:b/>
          <w:bCs/>
          <w:sz w:val="28"/>
          <w:szCs w:val="28"/>
          <w:lang w:bidi="ar-EG"/>
        </w:rPr>
      </w:pPr>
      <w:r w:rsidRPr="00DF7EB4">
        <w:rPr>
          <w:rFonts w:ascii="Times New Roman" w:eastAsia="Times New Roman" w:hAnsi="Times New Roman" w:cs="Times New Roman"/>
          <w:b/>
          <w:bCs/>
          <w:sz w:val="28"/>
          <w:szCs w:val="28"/>
          <w:lang w:bidi="ar-EG"/>
        </w:rPr>
        <w:t>Introduction</w:t>
      </w:r>
    </w:p>
    <w:p w:rsidR="007B4C14" w:rsidRDefault="00380A7F" w:rsidP="006F1760">
      <w:pPr>
        <w:ind w:left="270"/>
        <w:jc w:val="right"/>
        <w:rPr>
          <w:rFonts w:asciiTheme="majorBidi" w:hAnsiTheme="majorBidi" w:cstheme="majorBidi"/>
        </w:rPr>
        <w:sectPr w:rsidR="007B4C14" w:rsidSect="00864A21">
          <w:headerReference w:type="default" r:id="rId8"/>
          <w:pgSz w:w="12240" w:h="15840"/>
          <w:pgMar w:top="1440" w:right="1890" w:bottom="1440" w:left="1440" w:header="720" w:footer="720" w:gutter="0"/>
          <w:cols w:space="720"/>
          <w:docGrid w:linePitch="360"/>
        </w:sectPr>
      </w:pPr>
      <w:r w:rsidRPr="004725DD">
        <w:rPr>
          <w:rFonts w:asciiTheme="majorBidi" w:hAnsiTheme="majorBidi" w:cstheme="majorBidi"/>
          <w:sz w:val="20"/>
          <w:szCs w:val="20"/>
        </w:rPr>
        <w:t xml:space="preserve"> </w:t>
      </w:r>
    </w:p>
    <w:p w:rsidR="007B4C14" w:rsidRDefault="00380A7F" w:rsidP="006F1760">
      <w:pPr>
        <w:ind w:left="270"/>
        <w:jc w:val="right"/>
        <w:rPr>
          <w:rFonts w:asciiTheme="majorBidi" w:hAnsiTheme="majorBidi" w:cstheme="majorBidi"/>
          <w:color w:val="131413"/>
        </w:rPr>
        <w:sectPr w:rsidR="007B4C14" w:rsidSect="007B4C14">
          <w:type w:val="continuous"/>
          <w:pgSz w:w="12240" w:h="15840"/>
          <w:pgMar w:top="1440" w:right="1890" w:bottom="1440" w:left="1440" w:header="720" w:footer="720" w:gutter="0"/>
          <w:cols w:num="2" w:space="709"/>
          <w:docGrid w:linePitch="360"/>
        </w:sectPr>
      </w:pPr>
      <w:r w:rsidRPr="00DF7EB4">
        <w:rPr>
          <w:rFonts w:asciiTheme="majorBidi" w:hAnsiTheme="majorBidi" w:cstheme="majorBidi"/>
        </w:rPr>
        <w:lastRenderedPageBreak/>
        <w:t xml:space="preserve">Chronic lymphoid leukemia (CLL), is the most common type of leukemia (a type of cancer of the white blood cells) in adults </w:t>
      </w:r>
      <w:r w:rsidRPr="00DF7EB4">
        <w:rPr>
          <w:rFonts w:asciiTheme="majorBidi" w:hAnsiTheme="majorBidi" w:cstheme="majorBidi"/>
          <w:color w:val="000000"/>
        </w:rPr>
        <w:t xml:space="preserve">representing 25%-30% of all leukemias, </w:t>
      </w:r>
      <w:r w:rsidRPr="00DF7EB4">
        <w:rPr>
          <w:rFonts w:asciiTheme="majorBidi" w:hAnsiTheme="majorBidi" w:cstheme="majorBidi"/>
        </w:rPr>
        <w:t xml:space="preserve">CLL is a disease of adults </w:t>
      </w:r>
      <w:r w:rsidR="00360049" w:rsidRPr="00DF7EB4">
        <w:rPr>
          <w:rFonts w:asciiTheme="majorBidi" w:hAnsiTheme="majorBidi" w:cstheme="majorBidi"/>
          <w:b/>
          <w:bCs/>
          <w:color w:val="000000"/>
        </w:rPr>
        <w:t>(</w:t>
      </w:r>
      <w:r w:rsidR="00360049" w:rsidRPr="00DF7EB4">
        <w:rPr>
          <w:rFonts w:asciiTheme="majorBidi" w:hAnsiTheme="majorBidi" w:cstheme="majorBidi"/>
          <w:b/>
          <w:bCs/>
        </w:rPr>
        <w:t xml:space="preserve"> </w:t>
      </w:r>
      <w:r w:rsidR="006674B4" w:rsidRPr="00DF7EB4">
        <w:rPr>
          <w:rFonts w:asciiTheme="majorBidi" w:hAnsiTheme="majorBidi" w:cstheme="majorBidi"/>
          <w:b/>
          <w:bCs/>
        </w:rPr>
        <w:t>1</w:t>
      </w:r>
      <w:r w:rsidR="00360049" w:rsidRPr="00DF7EB4">
        <w:rPr>
          <w:rFonts w:asciiTheme="majorBidi" w:hAnsiTheme="majorBidi" w:cstheme="majorBidi"/>
          <w:b/>
          <w:bCs/>
          <w:color w:val="000000"/>
        </w:rPr>
        <w:t xml:space="preserve">). </w:t>
      </w:r>
      <w:r w:rsidR="00360049" w:rsidRPr="00DF7EB4">
        <w:rPr>
          <w:rFonts w:asciiTheme="majorBidi" w:hAnsiTheme="majorBidi" w:cstheme="majorBidi"/>
          <w:color w:val="000000"/>
        </w:rPr>
        <w:t>The leukemia is characterized by a clonal expansion of long-lived</w:t>
      </w:r>
      <w:r w:rsidR="002D7896" w:rsidRPr="00DF7EB4">
        <w:rPr>
          <w:rFonts w:asciiTheme="majorBidi" w:hAnsiTheme="majorBidi" w:cstheme="majorBidi"/>
          <w:color w:val="000000"/>
        </w:rPr>
        <w:t xml:space="preserve"> </w:t>
      </w:r>
      <w:r w:rsidR="00360049" w:rsidRPr="00DF7EB4">
        <w:rPr>
          <w:rFonts w:asciiTheme="majorBidi" w:hAnsiTheme="majorBidi" w:cstheme="majorBidi"/>
          <w:color w:val="000000"/>
        </w:rPr>
        <w:t xml:space="preserve"> mature-appearing B- lymphocytes that co-express the CD5, CD19, and CD23 surface antigens</w:t>
      </w:r>
      <w:r w:rsidR="00360049" w:rsidRPr="00DF7EB4">
        <w:rPr>
          <w:rFonts w:asciiTheme="majorBidi" w:hAnsiTheme="majorBidi" w:cstheme="majorBidi"/>
          <w:b/>
          <w:bCs/>
          <w:color w:val="000000"/>
        </w:rPr>
        <w:t xml:space="preserve"> </w:t>
      </w:r>
      <w:r w:rsidR="006674B4" w:rsidRPr="00DF7EB4">
        <w:rPr>
          <w:rFonts w:asciiTheme="majorBidi" w:hAnsiTheme="majorBidi" w:cstheme="majorBidi"/>
          <w:b/>
          <w:bCs/>
          <w:color w:val="000000" w:themeColor="text1"/>
        </w:rPr>
        <w:t>(2</w:t>
      </w:r>
      <w:r w:rsidR="00360049" w:rsidRPr="00DF7EB4">
        <w:rPr>
          <w:rFonts w:asciiTheme="majorBidi" w:hAnsiTheme="majorBidi" w:cstheme="majorBidi"/>
          <w:b/>
          <w:bCs/>
          <w:color w:val="000000" w:themeColor="text1"/>
        </w:rPr>
        <w:t>)</w:t>
      </w:r>
      <w:r w:rsidR="00361BCE" w:rsidRPr="00DF7EB4">
        <w:rPr>
          <w:rFonts w:asciiTheme="majorBidi" w:hAnsiTheme="majorBidi" w:cstheme="majorBidi"/>
          <w:b/>
          <w:bCs/>
          <w:color w:val="000000" w:themeColor="text1"/>
        </w:rPr>
        <w:t>.</w:t>
      </w:r>
      <w:r w:rsidR="00360049" w:rsidRPr="00DF7EB4">
        <w:rPr>
          <w:rFonts w:asciiTheme="majorBidi" w:hAnsiTheme="majorBidi" w:cstheme="majorBidi"/>
          <w:color w:val="000000"/>
        </w:rPr>
        <w:t xml:space="preserve"> CD39 (ectonucleotidase, NTDPase1) is an ADPase found on the surface of endothelial cells, normal lymphocytes</w:t>
      </w:r>
      <w:r w:rsidR="002D7896" w:rsidRPr="00DF7EB4">
        <w:rPr>
          <w:rFonts w:asciiTheme="majorBidi" w:hAnsiTheme="majorBidi" w:cstheme="majorBidi"/>
          <w:color w:val="000000"/>
        </w:rPr>
        <w:t xml:space="preserve"> </w:t>
      </w:r>
      <w:r w:rsidR="00360049" w:rsidRPr="00DF7EB4">
        <w:rPr>
          <w:rFonts w:asciiTheme="majorBidi" w:hAnsiTheme="majorBidi" w:cstheme="majorBidi"/>
          <w:color w:val="000000"/>
        </w:rPr>
        <w:t xml:space="preserve"> and other leukocytes </w:t>
      </w:r>
      <w:r w:rsidR="006674B4" w:rsidRPr="00DF7EB4">
        <w:rPr>
          <w:rFonts w:asciiTheme="majorBidi" w:hAnsiTheme="majorBidi" w:cstheme="majorBidi"/>
          <w:b/>
          <w:bCs/>
          <w:color w:val="000000"/>
        </w:rPr>
        <w:t>( 3</w:t>
      </w:r>
      <w:r w:rsidR="00360049" w:rsidRPr="00DF7EB4">
        <w:rPr>
          <w:rFonts w:asciiTheme="majorBidi" w:hAnsiTheme="majorBidi" w:cstheme="majorBidi"/>
          <w:b/>
          <w:bCs/>
          <w:color w:val="000000"/>
        </w:rPr>
        <w:t>).</w:t>
      </w:r>
      <w:r w:rsidR="00360049" w:rsidRPr="00DF7EB4">
        <w:rPr>
          <w:rFonts w:asciiTheme="majorBidi" w:hAnsiTheme="majorBidi" w:cstheme="majorBidi"/>
          <w:color w:val="000000"/>
        </w:rPr>
        <w:t xml:space="preserve"> Its principal function on the endothelial cell surface is to decrease platelet activation and recruitment by metabolizing platelet-released adenosine diphosphate (ADP). In </w:t>
      </w:r>
      <w:r w:rsidR="00360049" w:rsidRPr="00DF7EB4">
        <w:rPr>
          <w:rFonts w:asciiTheme="majorBidi" w:hAnsiTheme="majorBidi" w:cstheme="majorBidi"/>
          <w:color w:val="000000"/>
        </w:rPr>
        <w:lastRenderedPageBreak/>
        <w:t xml:space="preserve">leukocytes the enzyme has a variety of other direct or indirect effects as well, including modulation of cytokine expression and the inflammatory response  </w:t>
      </w:r>
      <w:r w:rsidR="00360049" w:rsidRPr="00DF7EB4">
        <w:rPr>
          <w:rFonts w:asciiTheme="majorBidi" w:hAnsiTheme="majorBidi" w:cstheme="majorBidi"/>
          <w:b/>
          <w:bCs/>
          <w:color w:val="000000"/>
        </w:rPr>
        <w:t>(</w:t>
      </w:r>
      <w:r w:rsidR="006674B4" w:rsidRPr="00DF7EB4">
        <w:rPr>
          <w:rFonts w:asciiTheme="majorBidi" w:hAnsiTheme="majorBidi" w:cstheme="majorBidi"/>
          <w:b/>
          <w:bCs/>
        </w:rPr>
        <w:t xml:space="preserve"> 4</w:t>
      </w:r>
      <w:r w:rsidR="00360049" w:rsidRPr="00DF7EB4">
        <w:rPr>
          <w:rFonts w:asciiTheme="majorBidi" w:hAnsiTheme="majorBidi" w:cstheme="majorBidi"/>
          <w:b/>
          <w:bCs/>
        </w:rPr>
        <w:t>).</w:t>
      </w:r>
      <w:r w:rsidR="00360049" w:rsidRPr="00DF7EB4">
        <w:rPr>
          <w:rFonts w:asciiTheme="majorBidi" w:hAnsiTheme="majorBidi" w:cstheme="majorBidi"/>
          <w:color w:val="000000"/>
        </w:rPr>
        <w:t xml:space="preserve"> The absolute number of T lymphocytes is often increased in CLL, largely caused by increases in the CD8_population,</w:t>
      </w:r>
      <w:r w:rsidR="00360049" w:rsidRPr="00DF7EB4">
        <w:rPr>
          <w:rFonts w:asciiTheme="majorBidi" w:hAnsiTheme="majorBidi" w:cstheme="majorBidi"/>
          <w:color w:val="000064"/>
        </w:rPr>
        <w:t xml:space="preserve"> </w:t>
      </w:r>
      <w:r w:rsidR="00360049" w:rsidRPr="00DF7EB4">
        <w:rPr>
          <w:rFonts w:asciiTheme="majorBidi" w:hAnsiTheme="majorBidi" w:cstheme="majorBidi"/>
          <w:color w:val="000000"/>
        </w:rPr>
        <w:t>although the relative number is usually reduced because of the large number of malignant B lymphocytes that accumulate</w:t>
      </w:r>
      <w:r w:rsidR="00360049" w:rsidRPr="00DF7EB4">
        <w:rPr>
          <w:rFonts w:asciiTheme="majorBidi" w:hAnsiTheme="majorBidi" w:cstheme="majorBidi"/>
          <w:b/>
          <w:bCs/>
          <w:color w:val="000000"/>
        </w:rPr>
        <w:t xml:space="preserve"> </w:t>
      </w:r>
      <w:r w:rsidR="006674B4" w:rsidRPr="00DF7EB4">
        <w:rPr>
          <w:rFonts w:asciiTheme="majorBidi" w:hAnsiTheme="majorBidi" w:cstheme="majorBidi"/>
          <w:b/>
          <w:bCs/>
        </w:rPr>
        <w:t>(5</w:t>
      </w:r>
      <w:r w:rsidR="00360049" w:rsidRPr="00DF7EB4">
        <w:rPr>
          <w:rFonts w:asciiTheme="majorBidi" w:hAnsiTheme="majorBidi" w:cstheme="majorBidi"/>
          <w:b/>
          <w:bCs/>
        </w:rPr>
        <w:t xml:space="preserve"> ).</w:t>
      </w:r>
      <w:r w:rsidR="000F744D" w:rsidRPr="00DF7EB4">
        <w:rPr>
          <w:rFonts w:asciiTheme="majorBidi" w:hAnsiTheme="majorBidi" w:cstheme="majorBidi"/>
          <w:color w:val="131413"/>
        </w:rPr>
        <w:t xml:space="preserve"> T-lymphocyte CD39 expression was lower in patients with stage 0 disease compared with patients with either stage 1-2 or stage 3-4 disease and in patients who did not require chemotherapy</w:t>
      </w:r>
      <w:r w:rsidR="006674B4" w:rsidRPr="00DF7EB4">
        <w:rPr>
          <w:rFonts w:asciiTheme="majorBidi" w:hAnsiTheme="majorBidi" w:cstheme="majorBidi"/>
          <w:b/>
          <w:bCs/>
          <w:color w:val="131413"/>
        </w:rPr>
        <w:t>(6</w:t>
      </w:r>
      <w:r w:rsidR="000F744D" w:rsidRPr="00DF7EB4">
        <w:rPr>
          <w:rFonts w:asciiTheme="majorBidi" w:hAnsiTheme="majorBidi" w:cstheme="majorBidi"/>
          <w:b/>
          <w:bCs/>
          <w:color w:val="131413"/>
        </w:rPr>
        <w:t>)</w:t>
      </w:r>
      <w:r w:rsidR="000F744D" w:rsidRPr="00DF7EB4">
        <w:rPr>
          <w:rFonts w:asciiTheme="majorBidi" w:hAnsiTheme="majorBidi" w:cstheme="majorBidi"/>
          <w:color w:val="131413"/>
        </w:rPr>
        <w:t xml:space="preserve"> </w:t>
      </w:r>
    </w:p>
    <w:p w:rsidR="00380A7F" w:rsidRPr="00DF7EB4" w:rsidRDefault="000F744D" w:rsidP="006F1760">
      <w:pPr>
        <w:ind w:left="270"/>
        <w:jc w:val="right"/>
        <w:rPr>
          <w:rFonts w:asciiTheme="majorBidi" w:hAnsiTheme="majorBidi" w:cstheme="majorBidi"/>
          <w:b/>
          <w:bCs/>
          <w:color w:val="000000"/>
        </w:rPr>
      </w:pPr>
      <w:r w:rsidRPr="00DF7EB4">
        <w:rPr>
          <w:rFonts w:asciiTheme="majorBidi" w:hAnsiTheme="majorBidi" w:cstheme="majorBidi"/>
          <w:color w:val="131413"/>
        </w:rPr>
        <w:lastRenderedPageBreak/>
        <w:t xml:space="preserve">The percentage of CD4+CD39+ lymphocytes was also significantly higher in ZAP-70+ve patients compared to ZAP-70–ve patients CD4+ve,CD39+ve lymphocytes were increased in patients with β2-microglobulin levels of &gt;3 g/L compared to patients with β2-microglobulin levels of &lt;3 g/L </w:t>
      </w:r>
      <w:r w:rsidR="004725DD" w:rsidRPr="00DF7EB4">
        <w:rPr>
          <w:rFonts w:asciiTheme="majorBidi" w:hAnsiTheme="majorBidi" w:cstheme="majorBidi"/>
          <w:b/>
          <w:bCs/>
          <w:color w:val="131413"/>
        </w:rPr>
        <w:t>(</w:t>
      </w:r>
      <w:r w:rsidR="006674B4" w:rsidRPr="00DF7EB4">
        <w:rPr>
          <w:rFonts w:asciiTheme="majorBidi" w:hAnsiTheme="majorBidi" w:cstheme="majorBidi"/>
          <w:b/>
          <w:bCs/>
        </w:rPr>
        <w:t xml:space="preserve"> 6</w:t>
      </w:r>
      <w:r w:rsidR="004725DD" w:rsidRPr="00DF7EB4">
        <w:rPr>
          <w:rFonts w:asciiTheme="majorBidi" w:hAnsiTheme="majorBidi" w:cstheme="majorBidi"/>
          <w:b/>
          <w:bCs/>
        </w:rPr>
        <w:t>)</w:t>
      </w:r>
      <w:r w:rsidR="004725DD" w:rsidRPr="00DF7EB4">
        <w:rPr>
          <w:rFonts w:asciiTheme="majorBidi" w:hAnsiTheme="majorBidi" w:cstheme="majorBidi"/>
          <w:color w:val="131413"/>
        </w:rPr>
        <w:t xml:space="preserve"> </w:t>
      </w:r>
      <w:r w:rsidR="002D7896" w:rsidRPr="00DF7EB4">
        <w:rPr>
          <w:rFonts w:asciiTheme="majorBidi" w:hAnsiTheme="majorBidi" w:cstheme="majorBidi"/>
          <w:color w:val="131413"/>
        </w:rPr>
        <w:t>.</w:t>
      </w:r>
      <w:r w:rsidR="004725DD" w:rsidRPr="00DF7EB4">
        <w:rPr>
          <w:rFonts w:asciiTheme="majorBidi" w:hAnsiTheme="majorBidi" w:cstheme="majorBidi"/>
          <w:color w:val="131413"/>
        </w:rPr>
        <w:t>Patients were diagnosed as having progressive disease on the basis of the presence of one or more of the following criteria ; lymphocyte count doubling time of less than 6 months; progression to a more advanced stage; massive (i.e. 6 cm below the left costal margin) or progressive or symptomatic splenomegaly ; massive nodes (i.e.  10 cm in longest diameter) or progressive or symptomatic lymphadenopathy ; development of systemic symptoms; autoimmune anemia and/or thrombocytopenia poorly responsive to corticosteroids or other standard therapy</w:t>
      </w:r>
      <w:r w:rsidR="00ED119F" w:rsidRPr="00DF7EB4">
        <w:rPr>
          <w:rFonts w:asciiTheme="majorBidi" w:hAnsiTheme="majorBidi" w:cstheme="majorBidi"/>
          <w:b/>
          <w:bCs/>
        </w:rPr>
        <w:t>(</w:t>
      </w:r>
      <w:r w:rsidR="004725DD" w:rsidRPr="00DF7EB4">
        <w:rPr>
          <w:rFonts w:asciiTheme="majorBidi" w:hAnsiTheme="majorBidi" w:cstheme="majorBidi"/>
          <w:b/>
          <w:bCs/>
        </w:rPr>
        <w:t xml:space="preserve"> </w:t>
      </w:r>
      <w:r w:rsidR="00ED119F" w:rsidRPr="00DF7EB4">
        <w:rPr>
          <w:rFonts w:asciiTheme="majorBidi" w:hAnsiTheme="majorBidi" w:cstheme="majorBidi"/>
          <w:b/>
          <w:bCs/>
        </w:rPr>
        <w:t>7)</w:t>
      </w:r>
      <w:r w:rsidR="006674B4" w:rsidRPr="00DF7EB4">
        <w:rPr>
          <w:rFonts w:asciiTheme="majorBidi" w:hAnsiTheme="majorBidi" w:cstheme="majorBidi"/>
          <w:b/>
          <w:bCs/>
        </w:rPr>
        <w:t>.</w:t>
      </w:r>
    </w:p>
    <w:p w:rsidR="00380A7F" w:rsidRPr="00DF7EB4" w:rsidRDefault="00380A7F" w:rsidP="004725DD">
      <w:pPr>
        <w:autoSpaceDE w:val="0"/>
        <w:autoSpaceDN w:val="0"/>
        <w:bidi w:val="0"/>
        <w:adjustRightInd w:val="0"/>
        <w:spacing w:line="240" w:lineRule="auto"/>
        <w:rPr>
          <w:rFonts w:ascii="Times New Roman" w:eastAsia="Times New Roman" w:hAnsi="Times New Roman" w:cs="Times New Roman"/>
          <w:b/>
          <w:bCs/>
        </w:rPr>
      </w:pPr>
      <w:r w:rsidRPr="00DF7EB4">
        <w:rPr>
          <w:rFonts w:ascii="Times New Roman" w:eastAsia="Times New Roman" w:hAnsi="Times New Roman" w:cs="Times New Roman"/>
          <w:b/>
          <w:bCs/>
          <w:lang w:bidi="ar-EG"/>
        </w:rPr>
        <w:t>Objectives</w:t>
      </w:r>
      <w:r w:rsidRPr="00DF7EB4">
        <w:rPr>
          <w:rFonts w:ascii="Times New Roman" w:eastAsia="Times New Roman" w:hAnsi="Times New Roman" w:cs="Times New Roman"/>
          <w:b/>
          <w:bCs/>
          <w:rtl/>
          <w:lang w:bidi="ar-EG"/>
        </w:rPr>
        <w:t>:</w:t>
      </w:r>
    </w:p>
    <w:p w:rsidR="00360049" w:rsidRPr="00DF7EB4" w:rsidRDefault="00380A7F" w:rsidP="00360049">
      <w:pPr>
        <w:autoSpaceDE w:val="0"/>
        <w:autoSpaceDN w:val="0"/>
        <w:bidi w:val="0"/>
        <w:adjustRightInd w:val="0"/>
        <w:spacing w:after="0" w:line="240" w:lineRule="auto"/>
        <w:rPr>
          <w:rFonts w:asciiTheme="majorBidi" w:hAnsiTheme="majorBidi" w:cstheme="majorBidi"/>
          <w:color w:val="000000"/>
          <w:rtl/>
        </w:rPr>
      </w:pPr>
      <w:r w:rsidRPr="00DF7EB4">
        <w:rPr>
          <w:rFonts w:asciiTheme="majorBidi" w:hAnsiTheme="majorBidi" w:cstheme="majorBidi"/>
          <w:color w:val="000000"/>
        </w:rPr>
        <w:t>This study is designed to review the role  CD39  in patients with chronic lymphocytic leukemia  and correlate it with the severity of the disease</w:t>
      </w:r>
    </w:p>
    <w:p w:rsidR="004725DD" w:rsidRPr="00DF7EB4" w:rsidRDefault="004725DD" w:rsidP="004725DD">
      <w:pPr>
        <w:bidi w:val="0"/>
        <w:spacing w:before="240" w:after="0" w:line="240" w:lineRule="auto"/>
        <w:rPr>
          <w:rFonts w:ascii="Times New Roman" w:hAnsi="Times New Roman" w:cs="Times New Roman"/>
          <w:b/>
          <w:bCs/>
        </w:rPr>
      </w:pPr>
      <w:r w:rsidRPr="00DF7EB4">
        <w:rPr>
          <w:rFonts w:ascii="Times New Roman" w:hAnsi="Times New Roman" w:cs="Times New Roman"/>
          <w:b/>
          <w:bCs/>
        </w:rPr>
        <w:lastRenderedPageBreak/>
        <w:t>Strategy and methods</w:t>
      </w:r>
    </w:p>
    <w:p w:rsidR="004725DD" w:rsidRPr="00DF7EB4" w:rsidRDefault="004725DD" w:rsidP="00DF7EB4">
      <w:pPr>
        <w:autoSpaceDE w:val="0"/>
        <w:autoSpaceDN w:val="0"/>
        <w:bidi w:val="0"/>
        <w:adjustRightInd w:val="0"/>
        <w:spacing w:after="0" w:line="240" w:lineRule="auto"/>
        <w:jc w:val="lowKashida"/>
        <w:rPr>
          <w:rFonts w:asciiTheme="majorBidi" w:hAnsiTheme="majorBidi" w:cstheme="majorBidi"/>
          <w:color w:val="000000"/>
        </w:rPr>
      </w:pPr>
      <w:r w:rsidRPr="00DF7EB4">
        <w:rPr>
          <w:rFonts w:asciiTheme="majorBidi" w:hAnsiTheme="majorBidi" w:cstheme="majorBidi"/>
          <w:color w:val="000000"/>
        </w:rPr>
        <w:t xml:space="preserve">The strategy of this systematic review will be based upon raising some research questions addressing the different techniques of role of </w:t>
      </w:r>
      <w:r w:rsidR="00ED119F" w:rsidRPr="00DF7EB4">
        <w:rPr>
          <w:rFonts w:asciiTheme="majorBidi" w:hAnsiTheme="majorBidi" w:cstheme="majorBidi"/>
          <w:color w:val="000000"/>
        </w:rPr>
        <w:t>CD39 in CLL</w:t>
      </w:r>
      <w:r w:rsidRPr="00DF7EB4">
        <w:rPr>
          <w:rFonts w:asciiTheme="majorBidi" w:hAnsiTheme="majorBidi" w:cstheme="majorBidi"/>
          <w:color w:val="000000"/>
        </w:rPr>
        <w:t xml:space="preserve"> and put a plan to find the best available answers for each. This will be done by looking in the literature and critically appraising the available researches in this field. Good quality researches will be selected to reach a conclusive answer for each question.</w:t>
      </w:r>
    </w:p>
    <w:p w:rsidR="004725DD" w:rsidRPr="00DF7EB4" w:rsidRDefault="004725DD" w:rsidP="00DF7EB4">
      <w:pPr>
        <w:bidi w:val="0"/>
        <w:spacing w:after="0" w:line="240" w:lineRule="auto"/>
        <w:jc w:val="lowKashida"/>
        <w:rPr>
          <w:rFonts w:ascii="Times New Roman" w:hAnsi="Times New Roman" w:cs="Times New Roman"/>
          <w:b/>
          <w:bCs/>
          <w:lang w:bidi="ar-EG"/>
        </w:rPr>
      </w:pPr>
      <w:r w:rsidRPr="00DF7EB4">
        <w:rPr>
          <w:rFonts w:ascii="Times New Roman" w:hAnsi="Times New Roman" w:cs="Times New Roman"/>
          <w:b/>
          <w:bCs/>
        </w:rPr>
        <w:t>The research questions are:</w:t>
      </w:r>
    </w:p>
    <w:p w:rsidR="004725DD" w:rsidRPr="00DF7EB4" w:rsidRDefault="004725DD" w:rsidP="007B4C14">
      <w:pPr>
        <w:bidi w:val="0"/>
        <w:spacing w:after="0" w:line="240" w:lineRule="auto"/>
        <w:ind w:right="-11"/>
        <w:jc w:val="lowKashida"/>
        <w:rPr>
          <w:rFonts w:asciiTheme="majorBidi" w:hAnsiTheme="majorBidi" w:cstheme="majorBidi"/>
          <w:lang w:bidi="ar-EG"/>
        </w:rPr>
      </w:pPr>
      <w:r w:rsidRPr="00DF7EB4">
        <w:rPr>
          <w:rFonts w:asciiTheme="majorBidi" w:hAnsiTheme="majorBidi" w:cstheme="majorBidi"/>
          <w:lang w:bidi="ar-EG"/>
        </w:rPr>
        <w:t>Is there an evidence-based value of  CD39 in CLL?</w:t>
      </w:r>
    </w:p>
    <w:p w:rsidR="004725DD" w:rsidRPr="00DF7EB4" w:rsidRDefault="004725DD" w:rsidP="00DF7EB4">
      <w:pPr>
        <w:bidi w:val="0"/>
        <w:spacing w:after="0" w:line="240" w:lineRule="auto"/>
        <w:ind w:right="-1134"/>
        <w:jc w:val="lowKashida"/>
        <w:rPr>
          <w:rFonts w:asciiTheme="majorBidi" w:hAnsiTheme="majorBidi" w:cstheme="majorBidi"/>
          <w:lang w:bidi="ar-EG"/>
        </w:rPr>
      </w:pPr>
      <w:r w:rsidRPr="00DF7EB4">
        <w:rPr>
          <w:rFonts w:asciiTheme="majorBidi" w:hAnsiTheme="majorBidi" w:cstheme="majorBidi"/>
          <w:lang w:bidi="ar-EG"/>
        </w:rPr>
        <w:t>How can we detect the level of CD39 ?</w:t>
      </w:r>
    </w:p>
    <w:p w:rsidR="004725DD" w:rsidRPr="00DF7EB4" w:rsidRDefault="004725DD" w:rsidP="007B4C14">
      <w:pPr>
        <w:bidi w:val="0"/>
        <w:spacing w:after="0" w:line="240" w:lineRule="auto"/>
        <w:ind w:right="-295"/>
        <w:jc w:val="lowKashida"/>
        <w:rPr>
          <w:rFonts w:asciiTheme="majorBidi" w:hAnsiTheme="majorBidi" w:cstheme="majorBidi"/>
          <w:lang w:bidi="ar-EG"/>
        </w:rPr>
      </w:pPr>
      <w:r w:rsidRPr="00DF7EB4">
        <w:rPr>
          <w:rFonts w:asciiTheme="majorBidi" w:hAnsiTheme="majorBidi" w:cstheme="majorBidi"/>
          <w:lang w:bidi="ar-EG"/>
        </w:rPr>
        <w:t xml:space="preserve">Is there any significant correlation between CD39 and other markers? </w:t>
      </w:r>
    </w:p>
    <w:p w:rsidR="004725DD" w:rsidRPr="007B4C14" w:rsidRDefault="004725DD" w:rsidP="007B4C14">
      <w:pPr>
        <w:tabs>
          <w:tab w:val="left" w:pos="5387"/>
        </w:tabs>
        <w:bidi w:val="0"/>
        <w:spacing w:line="240" w:lineRule="auto"/>
        <w:rPr>
          <w:rFonts w:ascii="Times New Roman" w:hAnsi="Times New Roman" w:cs="Times New Roman"/>
          <w:b/>
          <w:bCs/>
        </w:rPr>
      </w:pPr>
      <w:r w:rsidRPr="007B4C14">
        <w:rPr>
          <w:rFonts w:ascii="Times New Roman" w:hAnsi="Times New Roman" w:cs="Times New Roman"/>
          <w:b/>
          <w:bCs/>
        </w:rPr>
        <w:t>Selection criteria of the available researches:</w:t>
      </w:r>
      <w:r w:rsidR="00DF7EB4" w:rsidRPr="007B4C14">
        <w:rPr>
          <w:rFonts w:ascii="Times New Roman" w:hAnsi="Times New Roman" w:cs="Times New Roman"/>
          <w:b/>
          <w:bCs/>
        </w:rPr>
        <w:tab/>
      </w:r>
    </w:p>
    <w:p w:rsidR="004725DD" w:rsidRPr="00DF7EB4" w:rsidRDefault="004725DD" w:rsidP="002D7896">
      <w:pPr>
        <w:bidi w:val="0"/>
        <w:ind w:right="-1134"/>
        <w:jc w:val="both"/>
        <w:rPr>
          <w:rFonts w:asciiTheme="majorBidi" w:hAnsiTheme="majorBidi" w:cstheme="majorBidi"/>
          <w:lang w:bidi="ar-EG"/>
        </w:rPr>
      </w:pPr>
      <w:r w:rsidRPr="00DF7EB4">
        <w:rPr>
          <w:rFonts w:asciiTheme="majorBidi" w:hAnsiTheme="majorBidi" w:cstheme="majorBidi"/>
          <w:lang w:bidi="ar-EG"/>
        </w:rPr>
        <w:t xml:space="preserve">a) </w:t>
      </w:r>
      <w:r w:rsidRPr="00DF7EB4">
        <w:rPr>
          <w:rFonts w:asciiTheme="majorBidi" w:hAnsiTheme="majorBidi" w:cstheme="majorBidi"/>
          <w:b/>
          <w:bCs/>
          <w:lang w:bidi="ar-EG"/>
        </w:rPr>
        <w:t>Type of study:</w:t>
      </w:r>
      <w:r w:rsidRPr="00DF7EB4">
        <w:rPr>
          <w:rFonts w:asciiTheme="majorBidi" w:hAnsiTheme="majorBidi" w:cstheme="majorBidi" w:hint="cs"/>
          <w:rtl/>
          <w:lang w:bidi="ar-EG"/>
        </w:rPr>
        <w:t xml:space="preserve"> </w:t>
      </w:r>
      <w:r w:rsidRPr="00DF7EB4">
        <w:rPr>
          <w:rFonts w:asciiTheme="majorBidi" w:hAnsiTheme="majorBidi" w:cstheme="majorBidi"/>
          <w:lang w:bidi="ar-EG"/>
        </w:rPr>
        <w:t>systematic review.</w:t>
      </w:r>
    </w:p>
    <w:p w:rsidR="004725DD" w:rsidRPr="007B4C14" w:rsidRDefault="004725DD" w:rsidP="007B4C14">
      <w:pPr>
        <w:bidi w:val="0"/>
        <w:ind w:right="-436"/>
        <w:jc w:val="both"/>
        <w:rPr>
          <w:rFonts w:asciiTheme="majorBidi" w:hAnsiTheme="majorBidi" w:cstheme="majorBidi"/>
          <w:lang w:bidi="ar-EG"/>
        </w:rPr>
      </w:pPr>
      <w:r w:rsidRPr="00DF7EB4">
        <w:rPr>
          <w:rFonts w:asciiTheme="majorBidi" w:hAnsiTheme="majorBidi" w:cstheme="majorBidi"/>
          <w:lang w:bidi="ar-EG"/>
        </w:rPr>
        <w:t xml:space="preserve">b) </w:t>
      </w:r>
      <w:r w:rsidRPr="00DF7EB4">
        <w:rPr>
          <w:rFonts w:asciiTheme="majorBidi" w:hAnsiTheme="majorBidi" w:cstheme="majorBidi"/>
          <w:b/>
          <w:bCs/>
          <w:lang w:bidi="ar-EG"/>
        </w:rPr>
        <w:t>Time of studies:</w:t>
      </w:r>
      <w:r w:rsidRPr="00DF7EB4">
        <w:rPr>
          <w:rFonts w:asciiTheme="majorBidi" w:hAnsiTheme="majorBidi" w:cstheme="majorBidi"/>
          <w:lang w:bidi="ar-EG"/>
        </w:rPr>
        <w:t xml:space="preserve"> studies had been published during the </w:t>
      </w:r>
      <w:r w:rsidRPr="007B4C14">
        <w:rPr>
          <w:rFonts w:asciiTheme="majorBidi" w:hAnsiTheme="majorBidi" w:cstheme="majorBidi"/>
          <w:lang w:bidi="ar-EG"/>
        </w:rPr>
        <w:t>last five years from first of 20</w:t>
      </w:r>
      <w:r w:rsidRPr="007B4C14">
        <w:rPr>
          <w:rFonts w:asciiTheme="majorBidi" w:hAnsiTheme="majorBidi" w:cstheme="majorBidi" w:hint="cs"/>
          <w:rtl/>
          <w:lang w:bidi="ar-EG"/>
        </w:rPr>
        <w:t>07</w:t>
      </w:r>
      <w:r w:rsidRPr="007B4C14">
        <w:rPr>
          <w:rFonts w:asciiTheme="majorBidi" w:hAnsiTheme="majorBidi" w:cstheme="majorBidi"/>
          <w:lang w:bidi="ar-EG"/>
        </w:rPr>
        <w:t xml:space="preserve"> to 201</w:t>
      </w:r>
      <w:r w:rsidRPr="007B4C14">
        <w:rPr>
          <w:rFonts w:asciiTheme="majorBidi" w:hAnsiTheme="majorBidi" w:cstheme="majorBidi" w:hint="cs"/>
          <w:rtl/>
          <w:lang w:bidi="ar-EG"/>
        </w:rPr>
        <w:t>5</w:t>
      </w:r>
      <w:r w:rsidRPr="007B4C14">
        <w:rPr>
          <w:rFonts w:asciiTheme="majorBidi" w:hAnsiTheme="majorBidi" w:cstheme="majorBidi"/>
          <w:lang w:bidi="ar-EG"/>
        </w:rPr>
        <w:t xml:space="preserve"> </w:t>
      </w:r>
    </w:p>
    <w:p w:rsidR="004725DD" w:rsidRPr="00DF7EB4" w:rsidRDefault="004725DD" w:rsidP="007B4C14">
      <w:pPr>
        <w:bidi w:val="0"/>
        <w:ind w:right="-11"/>
        <w:jc w:val="both"/>
        <w:rPr>
          <w:rFonts w:asciiTheme="majorBidi" w:hAnsiTheme="majorBidi" w:cstheme="majorBidi"/>
          <w:lang w:bidi="ar-EG"/>
        </w:rPr>
      </w:pPr>
      <w:r w:rsidRPr="00DF7EB4">
        <w:rPr>
          <w:rFonts w:asciiTheme="majorBidi" w:hAnsiTheme="majorBidi" w:cstheme="majorBidi"/>
          <w:lang w:bidi="ar-EG"/>
        </w:rPr>
        <w:t xml:space="preserve">C) </w:t>
      </w:r>
      <w:r w:rsidRPr="00DF7EB4">
        <w:rPr>
          <w:rFonts w:asciiTheme="majorBidi" w:hAnsiTheme="majorBidi" w:cstheme="majorBidi"/>
          <w:b/>
          <w:bCs/>
          <w:lang w:bidi="ar-EG"/>
        </w:rPr>
        <w:t>Sites visited:</w:t>
      </w:r>
      <w:r w:rsidRPr="00DF7EB4">
        <w:rPr>
          <w:rFonts w:asciiTheme="majorBidi" w:hAnsiTheme="majorBidi" w:cstheme="majorBidi" w:hint="cs"/>
          <w:rtl/>
          <w:lang w:bidi="ar-EG"/>
        </w:rPr>
        <w:t xml:space="preserve"> </w:t>
      </w:r>
      <w:r w:rsidRPr="00DF7EB4">
        <w:rPr>
          <w:rFonts w:asciiTheme="majorBidi" w:hAnsiTheme="majorBidi" w:cstheme="majorBidi"/>
          <w:lang w:bidi="ar-EG"/>
        </w:rPr>
        <w:t>Cochrane library, PubMed, Medline, Science direct, any other site containing useful information</w:t>
      </w:r>
    </w:p>
    <w:p w:rsidR="004725DD" w:rsidRPr="00DF7EB4" w:rsidRDefault="004725DD" w:rsidP="007B4C14">
      <w:pPr>
        <w:bidi w:val="0"/>
        <w:ind w:right="556"/>
        <w:jc w:val="both"/>
        <w:rPr>
          <w:rFonts w:asciiTheme="majorBidi" w:hAnsiTheme="majorBidi" w:cstheme="majorBidi"/>
          <w:rtl/>
          <w:lang w:bidi="ar-EG"/>
        </w:rPr>
      </w:pPr>
      <w:r w:rsidRPr="00DF7EB4">
        <w:rPr>
          <w:rFonts w:asciiTheme="majorBidi" w:hAnsiTheme="majorBidi" w:cstheme="majorBidi"/>
          <w:lang w:bidi="ar-EG"/>
        </w:rPr>
        <w:t xml:space="preserve">b) </w:t>
      </w:r>
      <w:r w:rsidRPr="00DF7EB4">
        <w:rPr>
          <w:rFonts w:asciiTheme="majorBidi" w:hAnsiTheme="majorBidi" w:cstheme="majorBidi"/>
          <w:b/>
          <w:bCs/>
          <w:lang w:bidi="ar-EG"/>
        </w:rPr>
        <w:t>Key words used:</w:t>
      </w:r>
      <w:r w:rsidRPr="00DF7EB4">
        <w:rPr>
          <w:rFonts w:asciiTheme="majorBidi" w:hAnsiTheme="majorBidi" w:cstheme="majorBidi"/>
          <w:lang w:bidi="ar-EG"/>
        </w:rPr>
        <w:t xml:space="preserve"> CD39, Chronic lymphocytic leukemia</w:t>
      </w:r>
    </w:p>
    <w:p w:rsidR="004725DD" w:rsidRPr="002D7896" w:rsidRDefault="004725DD" w:rsidP="007B4C14">
      <w:pPr>
        <w:bidi w:val="0"/>
        <w:ind w:right="-11"/>
        <w:jc w:val="both"/>
        <w:rPr>
          <w:rFonts w:asciiTheme="majorBidi" w:hAnsiTheme="majorBidi" w:cstheme="majorBidi"/>
          <w:sz w:val="20"/>
          <w:szCs w:val="20"/>
          <w:lang w:bidi="ar-EG"/>
        </w:rPr>
      </w:pPr>
      <w:r w:rsidRPr="00DF7EB4">
        <w:rPr>
          <w:rFonts w:asciiTheme="majorBidi" w:hAnsiTheme="majorBidi" w:cstheme="majorBidi"/>
          <w:lang w:bidi="ar-EG"/>
        </w:rPr>
        <w:t xml:space="preserve">e) </w:t>
      </w:r>
      <w:r w:rsidRPr="00DF7EB4">
        <w:rPr>
          <w:rFonts w:asciiTheme="majorBidi" w:hAnsiTheme="majorBidi" w:cstheme="majorBidi"/>
          <w:b/>
          <w:bCs/>
          <w:lang w:bidi="ar-EG"/>
        </w:rPr>
        <w:t>The topic of interest:</w:t>
      </w:r>
      <w:r w:rsidRPr="00DF7EB4">
        <w:rPr>
          <w:rFonts w:asciiTheme="majorBidi" w:hAnsiTheme="majorBidi" w:cstheme="majorBidi"/>
          <w:lang w:bidi="ar-EG"/>
        </w:rPr>
        <w:t xml:space="preserve"> role of </w:t>
      </w:r>
      <w:r w:rsidR="00EB1BB6" w:rsidRPr="00DF7EB4">
        <w:rPr>
          <w:rFonts w:asciiTheme="majorBidi" w:hAnsiTheme="majorBidi" w:cstheme="majorBidi"/>
          <w:lang w:bidi="ar-EG"/>
        </w:rPr>
        <w:t>CD39 in chronic lymphocytic leukemia</w:t>
      </w:r>
    </w:p>
    <w:p w:rsidR="007B4C14" w:rsidRDefault="007B4C14" w:rsidP="002D7896">
      <w:pPr>
        <w:bidi w:val="0"/>
        <w:spacing w:line="240" w:lineRule="auto"/>
        <w:rPr>
          <w:rFonts w:ascii="Times New Roman" w:hAnsi="Times New Roman" w:cs="Times New Roman"/>
          <w:b/>
          <w:bCs/>
          <w:sz w:val="28"/>
          <w:szCs w:val="28"/>
        </w:rPr>
        <w:sectPr w:rsidR="007B4C14" w:rsidSect="007B4C14">
          <w:headerReference w:type="default" r:id="rId9"/>
          <w:type w:val="continuous"/>
          <w:pgSz w:w="12240" w:h="15840"/>
          <w:pgMar w:top="1440" w:right="1890" w:bottom="1440" w:left="1440" w:header="720" w:footer="720" w:gutter="0"/>
          <w:cols w:num="2" w:space="709"/>
          <w:docGrid w:linePitch="360"/>
        </w:sectPr>
      </w:pPr>
    </w:p>
    <w:p w:rsidR="004725DD" w:rsidRPr="00DF7EB4" w:rsidRDefault="004725DD" w:rsidP="002D7896">
      <w:pPr>
        <w:bidi w:val="0"/>
        <w:spacing w:line="240" w:lineRule="auto"/>
        <w:rPr>
          <w:rFonts w:ascii="Times New Roman" w:hAnsi="Times New Roman" w:cs="Times New Roman"/>
          <w:b/>
          <w:bCs/>
          <w:sz w:val="28"/>
          <w:szCs w:val="28"/>
        </w:rPr>
      </w:pPr>
      <w:r w:rsidRPr="00DF7EB4">
        <w:rPr>
          <w:rFonts w:ascii="Times New Roman" w:hAnsi="Times New Roman" w:cs="Times New Roman"/>
          <w:b/>
          <w:bCs/>
          <w:sz w:val="28"/>
          <w:szCs w:val="28"/>
        </w:rPr>
        <w:lastRenderedPageBreak/>
        <w:t>Results of the study</w:t>
      </w:r>
    </w:p>
    <w:p w:rsidR="004725DD" w:rsidRPr="002D7896" w:rsidRDefault="004725DD" w:rsidP="002D7896">
      <w:pPr>
        <w:bidi w:val="0"/>
        <w:ind w:right="-1134"/>
        <w:jc w:val="both"/>
        <w:rPr>
          <w:rFonts w:asciiTheme="majorBidi" w:hAnsiTheme="majorBidi" w:cstheme="majorBidi"/>
          <w:sz w:val="20"/>
          <w:szCs w:val="20"/>
          <w:rtl/>
          <w:lang w:bidi="ar-EG"/>
        </w:rPr>
      </w:pPr>
      <w:r w:rsidRPr="002D7896">
        <w:rPr>
          <w:rFonts w:asciiTheme="majorBidi" w:hAnsiTheme="majorBidi" w:cstheme="majorBidi"/>
          <w:sz w:val="20"/>
          <w:szCs w:val="20"/>
          <w:lang w:bidi="ar-EG"/>
        </w:rPr>
        <w:t xml:space="preserve">A total of  </w:t>
      </w:r>
      <w:r w:rsidR="002D7896">
        <w:rPr>
          <w:rFonts w:asciiTheme="majorBidi" w:hAnsiTheme="majorBidi" w:cstheme="majorBidi"/>
          <w:sz w:val="20"/>
          <w:szCs w:val="20"/>
          <w:lang w:bidi="ar-EG"/>
        </w:rPr>
        <w:t>5</w:t>
      </w:r>
      <w:r w:rsidRPr="002D7896">
        <w:rPr>
          <w:rFonts w:asciiTheme="majorBidi" w:hAnsiTheme="majorBidi" w:cstheme="majorBidi"/>
          <w:sz w:val="20"/>
          <w:szCs w:val="20"/>
          <w:lang w:bidi="ar-EG"/>
        </w:rPr>
        <w:t xml:space="preserve"> papers were obtained using th</w:t>
      </w:r>
      <w:r w:rsidR="00EB1BB6" w:rsidRPr="002D7896">
        <w:rPr>
          <w:rFonts w:asciiTheme="majorBidi" w:hAnsiTheme="majorBidi" w:cstheme="majorBidi"/>
          <w:sz w:val="20"/>
          <w:szCs w:val="20"/>
          <w:lang w:bidi="ar-EG"/>
        </w:rPr>
        <w:t xml:space="preserve">e </w:t>
      </w:r>
      <w:r w:rsidRPr="002D7896">
        <w:rPr>
          <w:rFonts w:asciiTheme="majorBidi" w:hAnsiTheme="majorBidi" w:cstheme="majorBidi"/>
          <w:sz w:val="20"/>
          <w:szCs w:val="20"/>
          <w:lang w:bidi="ar-EG"/>
        </w:rPr>
        <w:t>mentioned keywords in the research of all internet-based databases.</w:t>
      </w:r>
    </w:p>
    <w:p w:rsidR="00613711" w:rsidRPr="007B4C14" w:rsidRDefault="00613711" w:rsidP="007B4C14">
      <w:pPr>
        <w:tabs>
          <w:tab w:val="right" w:pos="8377"/>
        </w:tabs>
        <w:autoSpaceDE w:val="0"/>
        <w:autoSpaceDN w:val="0"/>
        <w:bidi w:val="0"/>
        <w:adjustRightInd w:val="0"/>
        <w:spacing w:before="240" w:after="0" w:line="360" w:lineRule="auto"/>
        <w:ind w:firstLine="7"/>
        <w:rPr>
          <w:rFonts w:asciiTheme="majorBidi" w:eastAsia="Calibri" w:hAnsiTheme="majorBidi" w:cstheme="majorBidi"/>
          <w:b/>
          <w:bCs/>
        </w:rPr>
      </w:pPr>
      <w:r w:rsidRPr="007B4C14">
        <w:rPr>
          <w:rFonts w:asciiTheme="majorBidi" w:eastAsia="Calibri" w:hAnsiTheme="majorBidi" w:cstheme="majorBidi"/>
          <w:b/>
          <w:bCs/>
        </w:rPr>
        <w:t>Table</w:t>
      </w:r>
      <w:r w:rsidR="006674B4" w:rsidRPr="007B4C14">
        <w:rPr>
          <w:rFonts w:asciiTheme="majorBidi" w:eastAsia="Calibri" w:hAnsiTheme="majorBidi" w:cstheme="majorBidi"/>
          <w:b/>
          <w:bCs/>
        </w:rPr>
        <w:t>-1</w:t>
      </w:r>
      <w:r w:rsidRPr="007B4C14">
        <w:rPr>
          <w:rFonts w:asciiTheme="majorBidi" w:eastAsia="Calibri" w:hAnsiTheme="majorBidi" w:cstheme="majorBidi"/>
          <w:b/>
          <w:bCs/>
        </w:rPr>
        <w:t xml:space="preserve">; </w:t>
      </w:r>
      <w:r w:rsidRPr="007B4C14">
        <w:rPr>
          <w:rFonts w:asciiTheme="majorBidi" w:eastAsia="Calibri" w:hAnsiTheme="majorBidi" w:cstheme="majorBidi"/>
        </w:rPr>
        <w:t>Mean age of the study population</w:t>
      </w:r>
    </w:p>
    <w:p w:rsidR="00613711" w:rsidRPr="00613711" w:rsidRDefault="00613711" w:rsidP="00613711">
      <w:pPr>
        <w:bidi w:val="0"/>
        <w:spacing w:line="240" w:lineRule="auto"/>
        <w:rPr>
          <w:rFonts w:ascii="Times New Roman" w:hAnsi="Times New Roman" w:cs="Times New Roman"/>
          <w:sz w:val="24"/>
          <w:szCs w:val="24"/>
          <w:rtl/>
          <w:lang w:bidi="ar-EG"/>
        </w:rPr>
      </w:pPr>
      <w:r w:rsidRPr="00613711">
        <w:rPr>
          <w:rFonts w:ascii="Times New Roman" w:hAnsi="Times New Roman" w:cs="Times New Roman"/>
          <w:sz w:val="24"/>
          <w:szCs w:val="24"/>
        </w:rPr>
        <w:t>The mean age was recorded in 4 papers, and the mean age of each of them was as follows:</w:t>
      </w:r>
    </w:p>
    <w:tbl>
      <w:tblPr>
        <w:tblStyle w:val="TableGrid"/>
        <w:tblW w:w="7990" w:type="dxa"/>
        <w:tblInd w:w="198" w:type="dxa"/>
        <w:tblLook w:val="04A0"/>
      </w:tblPr>
      <w:tblGrid>
        <w:gridCol w:w="666"/>
        <w:gridCol w:w="3009"/>
        <w:gridCol w:w="913"/>
        <w:gridCol w:w="1843"/>
        <w:gridCol w:w="1559"/>
      </w:tblGrid>
      <w:tr w:rsidR="00613711" w:rsidRPr="007B4C14" w:rsidTr="007B4C14">
        <w:trPr>
          <w:trHeight w:val="391"/>
        </w:trPr>
        <w:tc>
          <w:tcPr>
            <w:tcW w:w="666" w:type="dxa"/>
          </w:tcPr>
          <w:p w:rsidR="00613711" w:rsidRPr="007B4C14" w:rsidRDefault="00613711" w:rsidP="00AB7544">
            <w:pPr>
              <w:tabs>
                <w:tab w:val="right" w:pos="8377"/>
              </w:tabs>
              <w:bidi w:val="0"/>
              <w:spacing w:line="360" w:lineRule="auto"/>
              <w:ind w:firstLine="7"/>
              <w:rPr>
                <w:rFonts w:asciiTheme="majorBidi" w:hAnsiTheme="majorBidi" w:cstheme="majorBidi"/>
                <w:sz w:val="14"/>
                <w:szCs w:val="14"/>
              </w:rPr>
            </w:pPr>
            <w:r w:rsidRPr="007B4C14">
              <w:rPr>
                <w:rFonts w:asciiTheme="majorBidi" w:eastAsia="Times New Roman" w:hAnsiTheme="majorBidi" w:cstheme="majorBidi"/>
                <w:b/>
                <w:bCs/>
                <w:color w:val="000000"/>
                <w:sz w:val="14"/>
                <w:szCs w:val="14"/>
              </w:rPr>
              <w:t>Serial</w:t>
            </w:r>
          </w:p>
        </w:tc>
        <w:tc>
          <w:tcPr>
            <w:tcW w:w="3009" w:type="dxa"/>
          </w:tcPr>
          <w:p w:rsidR="00613711" w:rsidRPr="007B4C14" w:rsidRDefault="00613711" w:rsidP="00AB7544">
            <w:pPr>
              <w:tabs>
                <w:tab w:val="right" w:pos="8377"/>
              </w:tabs>
              <w:bidi w:val="0"/>
              <w:spacing w:line="360" w:lineRule="auto"/>
              <w:ind w:firstLine="7"/>
              <w:rPr>
                <w:rFonts w:asciiTheme="majorBidi" w:hAnsiTheme="majorBidi" w:cstheme="majorBidi"/>
                <w:sz w:val="14"/>
                <w:szCs w:val="14"/>
              </w:rPr>
            </w:pPr>
            <w:r w:rsidRPr="007B4C14">
              <w:rPr>
                <w:rFonts w:asciiTheme="majorBidi" w:eastAsia="Times New Roman" w:hAnsiTheme="majorBidi" w:cstheme="majorBidi"/>
                <w:b/>
                <w:bCs/>
                <w:color w:val="000000"/>
                <w:sz w:val="14"/>
                <w:szCs w:val="14"/>
              </w:rPr>
              <w:t>Author</w:t>
            </w:r>
          </w:p>
        </w:tc>
        <w:tc>
          <w:tcPr>
            <w:tcW w:w="913" w:type="dxa"/>
          </w:tcPr>
          <w:p w:rsidR="00613711" w:rsidRPr="007B4C14" w:rsidRDefault="00613711" w:rsidP="00AB7544">
            <w:pPr>
              <w:tabs>
                <w:tab w:val="right" w:pos="8377"/>
              </w:tabs>
              <w:bidi w:val="0"/>
              <w:spacing w:line="360" w:lineRule="auto"/>
              <w:ind w:firstLine="7"/>
              <w:rPr>
                <w:rFonts w:asciiTheme="majorBidi" w:hAnsiTheme="majorBidi" w:cstheme="majorBidi"/>
                <w:sz w:val="14"/>
                <w:szCs w:val="14"/>
              </w:rPr>
            </w:pPr>
            <w:r w:rsidRPr="007B4C14">
              <w:rPr>
                <w:rFonts w:asciiTheme="majorBidi" w:eastAsia="Times New Roman" w:hAnsiTheme="majorBidi" w:cstheme="majorBidi"/>
                <w:b/>
                <w:bCs/>
                <w:color w:val="000000"/>
                <w:sz w:val="14"/>
                <w:szCs w:val="14"/>
              </w:rPr>
              <w:t>Year</w:t>
            </w:r>
          </w:p>
        </w:tc>
        <w:tc>
          <w:tcPr>
            <w:tcW w:w="1843" w:type="dxa"/>
          </w:tcPr>
          <w:p w:rsidR="00613711" w:rsidRPr="007B4C14" w:rsidRDefault="00613711" w:rsidP="00AB7544">
            <w:pPr>
              <w:tabs>
                <w:tab w:val="right" w:pos="8377"/>
              </w:tabs>
              <w:bidi w:val="0"/>
              <w:spacing w:line="360" w:lineRule="auto"/>
              <w:ind w:firstLine="7"/>
              <w:jc w:val="center"/>
              <w:rPr>
                <w:rFonts w:asciiTheme="majorBidi" w:hAnsiTheme="majorBidi" w:cstheme="majorBidi"/>
                <w:sz w:val="14"/>
                <w:szCs w:val="14"/>
              </w:rPr>
            </w:pPr>
            <w:r w:rsidRPr="007B4C14">
              <w:rPr>
                <w:rFonts w:asciiTheme="majorBidi" w:eastAsia="Times New Roman" w:hAnsiTheme="majorBidi" w:cstheme="majorBidi"/>
                <w:b/>
                <w:bCs/>
                <w:color w:val="000000"/>
                <w:sz w:val="14"/>
                <w:szCs w:val="14"/>
              </w:rPr>
              <w:t>Number of cases</w:t>
            </w:r>
          </w:p>
        </w:tc>
        <w:tc>
          <w:tcPr>
            <w:tcW w:w="1559" w:type="dxa"/>
          </w:tcPr>
          <w:p w:rsidR="00613711" w:rsidRPr="007B4C14" w:rsidRDefault="00613711" w:rsidP="00AB7544">
            <w:pPr>
              <w:tabs>
                <w:tab w:val="right" w:pos="8377"/>
              </w:tabs>
              <w:bidi w:val="0"/>
              <w:spacing w:line="360" w:lineRule="auto"/>
              <w:ind w:firstLine="7"/>
              <w:rPr>
                <w:rFonts w:asciiTheme="majorBidi" w:hAnsiTheme="majorBidi" w:cstheme="majorBidi"/>
                <w:sz w:val="14"/>
                <w:szCs w:val="14"/>
              </w:rPr>
            </w:pPr>
            <w:r w:rsidRPr="007B4C14">
              <w:rPr>
                <w:rFonts w:asciiTheme="majorBidi" w:eastAsia="Times New Roman" w:hAnsiTheme="majorBidi" w:cstheme="majorBidi"/>
                <w:b/>
                <w:bCs/>
                <w:color w:val="000000"/>
                <w:sz w:val="14"/>
                <w:szCs w:val="14"/>
              </w:rPr>
              <w:t>Mean age</w:t>
            </w:r>
            <w:r w:rsidR="00361BCE" w:rsidRPr="007B4C14">
              <w:rPr>
                <w:rFonts w:asciiTheme="majorBidi" w:eastAsia="Times New Roman" w:hAnsiTheme="majorBidi" w:cstheme="majorBidi"/>
                <w:b/>
                <w:bCs/>
                <w:color w:val="000000"/>
                <w:sz w:val="14"/>
                <w:szCs w:val="14"/>
              </w:rPr>
              <w:t>(years)</w:t>
            </w:r>
          </w:p>
        </w:tc>
      </w:tr>
      <w:tr w:rsidR="00613711" w:rsidRPr="007B4C14" w:rsidTr="007B4C14">
        <w:trPr>
          <w:trHeight w:val="260"/>
        </w:trPr>
        <w:tc>
          <w:tcPr>
            <w:tcW w:w="666" w:type="dxa"/>
          </w:tcPr>
          <w:p w:rsidR="00613711" w:rsidRPr="007B4C14" w:rsidRDefault="00613711" w:rsidP="00AB7544">
            <w:pPr>
              <w:tabs>
                <w:tab w:val="right" w:pos="8377"/>
              </w:tabs>
              <w:bidi w:val="0"/>
              <w:spacing w:line="360" w:lineRule="auto"/>
              <w:ind w:firstLine="7"/>
              <w:rPr>
                <w:rFonts w:asciiTheme="majorBidi" w:hAnsiTheme="majorBidi" w:cstheme="majorBidi"/>
                <w:sz w:val="14"/>
                <w:szCs w:val="14"/>
              </w:rPr>
            </w:pPr>
            <w:r w:rsidRPr="007B4C14">
              <w:rPr>
                <w:rFonts w:asciiTheme="majorBidi" w:hAnsiTheme="majorBidi" w:cstheme="majorBidi"/>
                <w:sz w:val="14"/>
                <w:szCs w:val="14"/>
              </w:rPr>
              <w:t>1</w:t>
            </w:r>
          </w:p>
        </w:tc>
        <w:tc>
          <w:tcPr>
            <w:tcW w:w="3009" w:type="dxa"/>
          </w:tcPr>
          <w:p w:rsidR="00613711" w:rsidRPr="007B4C14" w:rsidRDefault="00613711" w:rsidP="00AB7544">
            <w:pPr>
              <w:tabs>
                <w:tab w:val="right" w:pos="8377"/>
              </w:tabs>
              <w:bidi w:val="0"/>
              <w:spacing w:line="360" w:lineRule="auto"/>
              <w:ind w:firstLine="7"/>
              <w:rPr>
                <w:rFonts w:asciiTheme="majorBidi" w:hAnsiTheme="majorBidi" w:cstheme="majorBidi"/>
                <w:b/>
                <w:bCs/>
                <w:sz w:val="14"/>
                <w:szCs w:val="14"/>
              </w:rPr>
            </w:pPr>
            <w:r w:rsidRPr="007B4C14">
              <w:rPr>
                <w:rFonts w:asciiTheme="majorBidi" w:hAnsiTheme="majorBidi" w:cstheme="majorBidi"/>
                <w:b/>
                <w:bCs/>
                <w:color w:val="131413"/>
                <w:sz w:val="14"/>
                <w:szCs w:val="14"/>
              </w:rPr>
              <w:t>Chava Perry, et al</w:t>
            </w:r>
          </w:p>
        </w:tc>
        <w:tc>
          <w:tcPr>
            <w:tcW w:w="913" w:type="dxa"/>
          </w:tcPr>
          <w:p w:rsidR="00613711" w:rsidRPr="007B4C14" w:rsidRDefault="00613711" w:rsidP="00AB7544">
            <w:pPr>
              <w:tabs>
                <w:tab w:val="right" w:pos="8377"/>
              </w:tabs>
              <w:bidi w:val="0"/>
              <w:spacing w:line="360" w:lineRule="auto"/>
              <w:ind w:firstLine="7"/>
              <w:jc w:val="center"/>
              <w:rPr>
                <w:rFonts w:asciiTheme="majorBidi" w:hAnsiTheme="majorBidi" w:cstheme="majorBidi"/>
                <w:sz w:val="14"/>
                <w:szCs w:val="14"/>
              </w:rPr>
            </w:pPr>
            <w:r w:rsidRPr="007B4C14">
              <w:rPr>
                <w:rFonts w:asciiTheme="majorBidi" w:hAnsiTheme="majorBidi" w:cstheme="majorBidi"/>
                <w:sz w:val="14"/>
                <w:szCs w:val="14"/>
              </w:rPr>
              <w:t>2012</w:t>
            </w:r>
          </w:p>
        </w:tc>
        <w:tc>
          <w:tcPr>
            <w:tcW w:w="1843" w:type="dxa"/>
          </w:tcPr>
          <w:p w:rsidR="00613711" w:rsidRPr="007B4C14" w:rsidRDefault="00613711" w:rsidP="00AB7544">
            <w:pPr>
              <w:tabs>
                <w:tab w:val="right" w:pos="8377"/>
              </w:tabs>
              <w:bidi w:val="0"/>
              <w:spacing w:line="360" w:lineRule="auto"/>
              <w:ind w:firstLine="7"/>
              <w:jc w:val="center"/>
              <w:rPr>
                <w:rFonts w:asciiTheme="majorBidi" w:hAnsiTheme="majorBidi" w:cstheme="majorBidi"/>
                <w:sz w:val="14"/>
                <w:szCs w:val="14"/>
              </w:rPr>
            </w:pPr>
            <w:r w:rsidRPr="007B4C14">
              <w:rPr>
                <w:rFonts w:asciiTheme="majorBidi" w:hAnsiTheme="majorBidi" w:cstheme="majorBidi"/>
                <w:sz w:val="14"/>
                <w:szCs w:val="14"/>
              </w:rPr>
              <w:t>62</w:t>
            </w:r>
          </w:p>
        </w:tc>
        <w:tc>
          <w:tcPr>
            <w:tcW w:w="1559" w:type="dxa"/>
          </w:tcPr>
          <w:p w:rsidR="00613711" w:rsidRPr="007B4C14" w:rsidRDefault="00613711" w:rsidP="00AB7544">
            <w:pPr>
              <w:tabs>
                <w:tab w:val="right" w:pos="8377"/>
              </w:tabs>
              <w:bidi w:val="0"/>
              <w:spacing w:line="360" w:lineRule="auto"/>
              <w:ind w:firstLine="7"/>
              <w:jc w:val="center"/>
              <w:rPr>
                <w:rFonts w:asciiTheme="majorBidi" w:hAnsiTheme="majorBidi" w:cstheme="majorBidi"/>
                <w:sz w:val="14"/>
                <w:szCs w:val="14"/>
              </w:rPr>
            </w:pPr>
            <w:r w:rsidRPr="007B4C14">
              <w:rPr>
                <w:rFonts w:asciiTheme="majorBidi" w:hAnsiTheme="majorBidi" w:cstheme="majorBidi"/>
                <w:sz w:val="14"/>
                <w:szCs w:val="14"/>
              </w:rPr>
              <w:t>66</w:t>
            </w:r>
          </w:p>
        </w:tc>
      </w:tr>
      <w:tr w:rsidR="00613711" w:rsidRPr="007B4C14" w:rsidTr="007B4C14">
        <w:trPr>
          <w:trHeight w:val="291"/>
        </w:trPr>
        <w:tc>
          <w:tcPr>
            <w:tcW w:w="666" w:type="dxa"/>
          </w:tcPr>
          <w:p w:rsidR="00613711" w:rsidRPr="007B4C14" w:rsidRDefault="00613711" w:rsidP="00AB7544">
            <w:pPr>
              <w:tabs>
                <w:tab w:val="right" w:pos="8377"/>
              </w:tabs>
              <w:bidi w:val="0"/>
              <w:spacing w:line="360" w:lineRule="auto"/>
              <w:ind w:firstLine="7"/>
              <w:rPr>
                <w:rFonts w:asciiTheme="majorBidi" w:hAnsiTheme="majorBidi" w:cstheme="majorBidi"/>
                <w:sz w:val="14"/>
                <w:szCs w:val="14"/>
              </w:rPr>
            </w:pPr>
            <w:r w:rsidRPr="007B4C14">
              <w:rPr>
                <w:rFonts w:asciiTheme="majorBidi" w:hAnsiTheme="majorBidi" w:cstheme="majorBidi"/>
                <w:sz w:val="14"/>
                <w:szCs w:val="14"/>
              </w:rPr>
              <w:t>2</w:t>
            </w:r>
          </w:p>
        </w:tc>
        <w:tc>
          <w:tcPr>
            <w:tcW w:w="3009" w:type="dxa"/>
          </w:tcPr>
          <w:p w:rsidR="00613711" w:rsidRPr="007B4C14"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7B4C14">
              <w:rPr>
                <w:rFonts w:asciiTheme="majorBidi" w:hAnsiTheme="majorBidi" w:cstheme="majorBidi"/>
                <w:b/>
                <w:bCs/>
                <w:color w:val="131413"/>
                <w:sz w:val="14"/>
                <w:szCs w:val="14"/>
              </w:rPr>
              <w:t>Nashwa Khairat Abousamra, et al</w:t>
            </w:r>
          </w:p>
        </w:tc>
        <w:tc>
          <w:tcPr>
            <w:tcW w:w="913" w:type="dxa"/>
          </w:tcPr>
          <w:p w:rsidR="00613711" w:rsidRPr="007B4C14" w:rsidRDefault="00613711" w:rsidP="00AB7544">
            <w:pPr>
              <w:tabs>
                <w:tab w:val="right" w:pos="8377"/>
              </w:tabs>
              <w:bidi w:val="0"/>
              <w:spacing w:line="360" w:lineRule="auto"/>
              <w:ind w:firstLine="7"/>
              <w:jc w:val="center"/>
              <w:rPr>
                <w:rFonts w:asciiTheme="majorBidi" w:hAnsiTheme="majorBidi" w:cstheme="majorBidi"/>
                <w:sz w:val="14"/>
                <w:szCs w:val="14"/>
              </w:rPr>
            </w:pPr>
            <w:r w:rsidRPr="007B4C14">
              <w:rPr>
                <w:rFonts w:asciiTheme="majorBidi" w:hAnsiTheme="majorBidi" w:cstheme="majorBidi"/>
                <w:sz w:val="14"/>
                <w:szCs w:val="14"/>
              </w:rPr>
              <w:t>2015</w:t>
            </w:r>
          </w:p>
        </w:tc>
        <w:tc>
          <w:tcPr>
            <w:tcW w:w="1843" w:type="dxa"/>
          </w:tcPr>
          <w:p w:rsidR="00613711" w:rsidRPr="007B4C14" w:rsidRDefault="00613711" w:rsidP="00AB7544">
            <w:pPr>
              <w:tabs>
                <w:tab w:val="right" w:pos="8377"/>
              </w:tabs>
              <w:bidi w:val="0"/>
              <w:spacing w:line="360" w:lineRule="auto"/>
              <w:ind w:firstLine="7"/>
              <w:jc w:val="center"/>
              <w:rPr>
                <w:rFonts w:asciiTheme="majorBidi" w:hAnsiTheme="majorBidi" w:cstheme="majorBidi"/>
                <w:sz w:val="14"/>
                <w:szCs w:val="14"/>
              </w:rPr>
            </w:pPr>
            <w:r w:rsidRPr="007B4C14">
              <w:rPr>
                <w:rFonts w:asciiTheme="majorBidi" w:hAnsiTheme="majorBidi" w:cstheme="majorBidi"/>
                <w:sz w:val="14"/>
                <w:szCs w:val="14"/>
              </w:rPr>
              <w:t>68</w:t>
            </w:r>
          </w:p>
        </w:tc>
        <w:tc>
          <w:tcPr>
            <w:tcW w:w="1559" w:type="dxa"/>
          </w:tcPr>
          <w:p w:rsidR="00613711" w:rsidRPr="007B4C14" w:rsidRDefault="00613711" w:rsidP="00AB7544">
            <w:pPr>
              <w:tabs>
                <w:tab w:val="right" w:pos="8377"/>
              </w:tabs>
              <w:bidi w:val="0"/>
              <w:spacing w:line="360" w:lineRule="auto"/>
              <w:ind w:firstLine="7"/>
              <w:jc w:val="center"/>
              <w:rPr>
                <w:rFonts w:asciiTheme="majorBidi" w:hAnsiTheme="majorBidi" w:cstheme="majorBidi"/>
                <w:sz w:val="14"/>
                <w:szCs w:val="14"/>
                <w:rtl/>
                <w:lang w:bidi="ar-EG"/>
              </w:rPr>
            </w:pPr>
            <w:r w:rsidRPr="007B4C14">
              <w:rPr>
                <w:rFonts w:asciiTheme="majorBidi" w:hAnsiTheme="majorBidi" w:cstheme="majorBidi"/>
                <w:sz w:val="14"/>
                <w:szCs w:val="14"/>
                <w:lang w:bidi="ar-EG"/>
              </w:rPr>
              <w:t>55</w:t>
            </w:r>
          </w:p>
        </w:tc>
      </w:tr>
      <w:tr w:rsidR="00613711" w:rsidRPr="007B4C14" w:rsidTr="007B4C14">
        <w:trPr>
          <w:trHeight w:val="263"/>
        </w:trPr>
        <w:tc>
          <w:tcPr>
            <w:tcW w:w="666" w:type="dxa"/>
          </w:tcPr>
          <w:p w:rsidR="00613711" w:rsidRPr="007B4C14" w:rsidRDefault="00613711" w:rsidP="00AB7544">
            <w:pPr>
              <w:tabs>
                <w:tab w:val="right" w:pos="8377"/>
              </w:tabs>
              <w:bidi w:val="0"/>
              <w:spacing w:line="360" w:lineRule="auto"/>
              <w:ind w:firstLine="7"/>
              <w:rPr>
                <w:rFonts w:asciiTheme="majorBidi" w:hAnsiTheme="majorBidi" w:cstheme="majorBidi"/>
                <w:sz w:val="14"/>
                <w:szCs w:val="14"/>
              </w:rPr>
            </w:pPr>
            <w:r w:rsidRPr="007B4C14">
              <w:rPr>
                <w:rFonts w:asciiTheme="majorBidi" w:hAnsiTheme="majorBidi" w:cstheme="majorBidi"/>
                <w:sz w:val="14"/>
                <w:szCs w:val="14"/>
              </w:rPr>
              <w:t>3</w:t>
            </w:r>
          </w:p>
        </w:tc>
        <w:tc>
          <w:tcPr>
            <w:tcW w:w="3009" w:type="dxa"/>
          </w:tcPr>
          <w:p w:rsidR="00613711" w:rsidRPr="007B4C14" w:rsidRDefault="00613711" w:rsidP="00AB7544">
            <w:pPr>
              <w:tabs>
                <w:tab w:val="right" w:pos="8377"/>
              </w:tabs>
              <w:bidi w:val="0"/>
              <w:spacing w:line="360" w:lineRule="auto"/>
              <w:ind w:firstLine="7"/>
              <w:rPr>
                <w:rFonts w:asciiTheme="majorBidi" w:hAnsiTheme="majorBidi" w:cstheme="majorBidi"/>
                <w:b/>
                <w:bCs/>
                <w:sz w:val="14"/>
                <w:szCs w:val="14"/>
              </w:rPr>
            </w:pPr>
            <w:r w:rsidRPr="007B4C14">
              <w:rPr>
                <w:rFonts w:asciiTheme="majorBidi" w:hAnsiTheme="majorBidi" w:cstheme="majorBidi"/>
                <w:b/>
                <w:bCs/>
                <w:sz w:val="14"/>
                <w:szCs w:val="14"/>
              </w:rPr>
              <w:t>Dianne Pulte and Richard, et al</w:t>
            </w:r>
          </w:p>
        </w:tc>
        <w:tc>
          <w:tcPr>
            <w:tcW w:w="913" w:type="dxa"/>
          </w:tcPr>
          <w:p w:rsidR="00613711" w:rsidRPr="007B4C14" w:rsidRDefault="00613711" w:rsidP="00AB7544">
            <w:pPr>
              <w:tabs>
                <w:tab w:val="right" w:pos="8377"/>
              </w:tabs>
              <w:bidi w:val="0"/>
              <w:spacing w:line="360" w:lineRule="auto"/>
              <w:ind w:firstLine="7"/>
              <w:jc w:val="center"/>
              <w:rPr>
                <w:rFonts w:asciiTheme="majorBidi" w:hAnsiTheme="majorBidi" w:cstheme="majorBidi"/>
                <w:sz w:val="14"/>
                <w:szCs w:val="14"/>
              </w:rPr>
            </w:pPr>
            <w:r w:rsidRPr="007B4C14">
              <w:rPr>
                <w:rFonts w:asciiTheme="majorBidi" w:hAnsiTheme="majorBidi" w:cstheme="majorBidi"/>
                <w:sz w:val="14"/>
                <w:szCs w:val="14"/>
              </w:rPr>
              <w:t>2011</w:t>
            </w:r>
          </w:p>
        </w:tc>
        <w:tc>
          <w:tcPr>
            <w:tcW w:w="1843" w:type="dxa"/>
          </w:tcPr>
          <w:p w:rsidR="00613711" w:rsidRPr="007B4C14" w:rsidRDefault="00613711" w:rsidP="00AB7544">
            <w:pPr>
              <w:tabs>
                <w:tab w:val="right" w:pos="8377"/>
              </w:tabs>
              <w:bidi w:val="0"/>
              <w:spacing w:line="360" w:lineRule="auto"/>
              <w:ind w:firstLine="7"/>
              <w:jc w:val="center"/>
              <w:rPr>
                <w:rFonts w:asciiTheme="majorBidi" w:hAnsiTheme="majorBidi" w:cstheme="majorBidi"/>
                <w:sz w:val="14"/>
                <w:szCs w:val="14"/>
              </w:rPr>
            </w:pPr>
            <w:r w:rsidRPr="007B4C14">
              <w:rPr>
                <w:rFonts w:asciiTheme="majorBidi" w:hAnsiTheme="majorBidi" w:cstheme="majorBidi"/>
                <w:sz w:val="14"/>
                <w:szCs w:val="14"/>
              </w:rPr>
              <w:t>65</w:t>
            </w:r>
          </w:p>
        </w:tc>
        <w:tc>
          <w:tcPr>
            <w:tcW w:w="1559" w:type="dxa"/>
          </w:tcPr>
          <w:p w:rsidR="00613711" w:rsidRPr="007B4C14" w:rsidRDefault="00613711" w:rsidP="00AB7544">
            <w:pPr>
              <w:tabs>
                <w:tab w:val="right" w:pos="8377"/>
              </w:tabs>
              <w:bidi w:val="0"/>
              <w:spacing w:line="360" w:lineRule="auto"/>
              <w:ind w:firstLine="7"/>
              <w:jc w:val="center"/>
              <w:rPr>
                <w:rFonts w:asciiTheme="majorBidi" w:hAnsiTheme="majorBidi" w:cstheme="majorBidi"/>
                <w:sz w:val="14"/>
                <w:szCs w:val="14"/>
              </w:rPr>
            </w:pPr>
            <w:r w:rsidRPr="007B4C14">
              <w:rPr>
                <w:rFonts w:asciiTheme="majorBidi" w:hAnsiTheme="majorBidi" w:cstheme="majorBidi"/>
                <w:sz w:val="14"/>
                <w:szCs w:val="14"/>
              </w:rPr>
              <w:t>67</w:t>
            </w:r>
          </w:p>
        </w:tc>
      </w:tr>
      <w:tr w:rsidR="00613711" w:rsidRPr="007B4C14" w:rsidTr="007B4C14">
        <w:trPr>
          <w:trHeight w:val="440"/>
        </w:trPr>
        <w:tc>
          <w:tcPr>
            <w:tcW w:w="666" w:type="dxa"/>
          </w:tcPr>
          <w:p w:rsidR="00613711" w:rsidRPr="007B4C14" w:rsidRDefault="00613711" w:rsidP="00AB7544">
            <w:pPr>
              <w:tabs>
                <w:tab w:val="right" w:pos="8377"/>
              </w:tabs>
              <w:bidi w:val="0"/>
              <w:spacing w:line="360" w:lineRule="auto"/>
              <w:ind w:firstLine="7"/>
              <w:rPr>
                <w:rFonts w:asciiTheme="majorBidi" w:hAnsiTheme="majorBidi" w:cstheme="majorBidi"/>
                <w:sz w:val="14"/>
                <w:szCs w:val="14"/>
              </w:rPr>
            </w:pPr>
            <w:r w:rsidRPr="007B4C14">
              <w:rPr>
                <w:rFonts w:asciiTheme="majorBidi" w:hAnsiTheme="majorBidi" w:cstheme="majorBidi"/>
                <w:sz w:val="14"/>
                <w:szCs w:val="14"/>
              </w:rPr>
              <w:t>4</w:t>
            </w:r>
          </w:p>
        </w:tc>
        <w:tc>
          <w:tcPr>
            <w:tcW w:w="3009" w:type="dxa"/>
          </w:tcPr>
          <w:p w:rsidR="00613711" w:rsidRPr="007B4C14" w:rsidRDefault="00613711" w:rsidP="00AB7544">
            <w:pPr>
              <w:tabs>
                <w:tab w:val="right" w:pos="8377"/>
              </w:tabs>
              <w:bidi w:val="0"/>
              <w:spacing w:line="360" w:lineRule="auto"/>
              <w:ind w:firstLine="7"/>
              <w:rPr>
                <w:rFonts w:asciiTheme="majorBidi" w:hAnsiTheme="majorBidi" w:cstheme="majorBidi"/>
                <w:b/>
                <w:bCs/>
                <w:sz w:val="14"/>
                <w:szCs w:val="14"/>
              </w:rPr>
            </w:pPr>
            <w:r w:rsidRPr="007B4C14">
              <w:rPr>
                <w:rFonts w:asciiTheme="majorBidi" w:hAnsiTheme="majorBidi" w:cstheme="majorBidi"/>
                <w:b/>
                <w:bCs/>
                <w:sz w:val="14"/>
                <w:szCs w:val="14"/>
              </w:rPr>
              <w:t>Dianne Pulte and</w:t>
            </w:r>
            <w:r w:rsidRPr="007B4C14">
              <w:rPr>
                <w:rFonts w:asciiTheme="majorBidi" w:hAnsiTheme="majorBidi" w:cstheme="majorBidi"/>
                <w:sz w:val="14"/>
                <w:szCs w:val="14"/>
              </w:rPr>
              <w:t xml:space="preserve"> </w:t>
            </w:r>
            <w:r w:rsidRPr="007B4C14">
              <w:rPr>
                <w:rFonts w:asciiTheme="majorBidi" w:hAnsiTheme="majorBidi" w:cstheme="majorBidi"/>
                <w:b/>
                <w:bCs/>
                <w:sz w:val="14"/>
                <w:szCs w:val="14"/>
              </w:rPr>
              <w:t>Olson, et al</w:t>
            </w:r>
          </w:p>
        </w:tc>
        <w:tc>
          <w:tcPr>
            <w:tcW w:w="913" w:type="dxa"/>
          </w:tcPr>
          <w:p w:rsidR="00613711" w:rsidRPr="007B4C14" w:rsidRDefault="00613711" w:rsidP="00AB7544">
            <w:pPr>
              <w:tabs>
                <w:tab w:val="right" w:pos="8377"/>
              </w:tabs>
              <w:bidi w:val="0"/>
              <w:spacing w:line="360" w:lineRule="auto"/>
              <w:ind w:firstLine="7"/>
              <w:jc w:val="center"/>
              <w:rPr>
                <w:rFonts w:asciiTheme="majorBidi" w:hAnsiTheme="majorBidi" w:cstheme="majorBidi"/>
                <w:sz w:val="14"/>
                <w:szCs w:val="14"/>
              </w:rPr>
            </w:pPr>
            <w:r w:rsidRPr="007B4C14">
              <w:rPr>
                <w:rFonts w:asciiTheme="majorBidi" w:hAnsiTheme="majorBidi" w:cstheme="majorBidi"/>
                <w:sz w:val="14"/>
                <w:szCs w:val="14"/>
              </w:rPr>
              <w:t>2007</w:t>
            </w:r>
          </w:p>
        </w:tc>
        <w:tc>
          <w:tcPr>
            <w:tcW w:w="1843" w:type="dxa"/>
          </w:tcPr>
          <w:p w:rsidR="00613711" w:rsidRPr="007B4C14" w:rsidRDefault="00613711" w:rsidP="00AB7544">
            <w:pPr>
              <w:tabs>
                <w:tab w:val="right" w:pos="8377"/>
              </w:tabs>
              <w:bidi w:val="0"/>
              <w:spacing w:line="360" w:lineRule="auto"/>
              <w:ind w:firstLine="7"/>
              <w:jc w:val="center"/>
              <w:rPr>
                <w:rFonts w:asciiTheme="majorBidi" w:hAnsiTheme="majorBidi" w:cstheme="majorBidi"/>
                <w:sz w:val="14"/>
                <w:szCs w:val="14"/>
              </w:rPr>
            </w:pPr>
            <w:r w:rsidRPr="007B4C14">
              <w:rPr>
                <w:rFonts w:asciiTheme="majorBidi" w:hAnsiTheme="majorBidi" w:cstheme="majorBidi"/>
                <w:sz w:val="14"/>
                <w:szCs w:val="14"/>
              </w:rPr>
              <w:t>21</w:t>
            </w:r>
          </w:p>
        </w:tc>
        <w:tc>
          <w:tcPr>
            <w:tcW w:w="1559" w:type="dxa"/>
          </w:tcPr>
          <w:p w:rsidR="00613711" w:rsidRPr="007B4C14" w:rsidRDefault="00613711" w:rsidP="00613711">
            <w:pPr>
              <w:tabs>
                <w:tab w:val="right" w:pos="8377"/>
              </w:tabs>
              <w:bidi w:val="0"/>
              <w:spacing w:line="360" w:lineRule="auto"/>
              <w:ind w:firstLine="7"/>
              <w:jc w:val="center"/>
              <w:rPr>
                <w:rFonts w:asciiTheme="majorBidi" w:hAnsiTheme="majorBidi" w:cstheme="majorBidi"/>
                <w:sz w:val="14"/>
                <w:szCs w:val="14"/>
                <w:lang w:bidi="ar-EG"/>
              </w:rPr>
            </w:pPr>
            <w:r w:rsidRPr="007B4C14">
              <w:rPr>
                <w:rFonts w:asciiTheme="majorBidi" w:hAnsiTheme="majorBidi" w:cstheme="majorBidi"/>
                <w:sz w:val="14"/>
                <w:szCs w:val="14"/>
              </w:rPr>
              <w:t>71</w:t>
            </w:r>
          </w:p>
        </w:tc>
      </w:tr>
    </w:tbl>
    <w:p w:rsidR="002D7896" w:rsidRDefault="002D7896" w:rsidP="00EB1BB6">
      <w:pPr>
        <w:tabs>
          <w:tab w:val="right" w:pos="8377"/>
        </w:tabs>
        <w:autoSpaceDE w:val="0"/>
        <w:autoSpaceDN w:val="0"/>
        <w:bidi w:val="0"/>
        <w:adjustRightInd w:val="0"/>
        <w:spacing w:before="240" w:after="0" w:line="360" w:lineRule="auto"/>
        <w:ind w:firstLine="7"/>
        <w:jc w:val="center"/>
        <w:rPr>
          <w:rFonts w:asciiTheme="majorBidi" w:eastAsia="Calibri" w:hAnsiTheme="majorBidi" w:cstheme="majorBidi"/>
          <w:b/>
          <w:bCs/>
          <w:sz w:val="20"/>
          <w:szCs w:val="20"/>
        </w:rPr>
      </w:pPr>
    </w:p>
    <w:p w:rsidR="00613711" w:rsidRPr="00EB1BB6" w:rsidRDefault="00613711" w:rsidP="002D7896">
      <w:pPr>
        <w:tabs>
          <w:tab w:val="right" w:pos="8377"/>
        </w:tabs>
        <w:autoSpaceDE w:val="0"/>
        <w:autoSpaceDN w:val="0"/>
        <w:bidi w:val="0"/>
        <w:adjustRightInd w:val="0"/>
        <w:spacing w:before="240" w:after="0" w:line="360" w:lineRule="auto"/>
        <w:ind w:firstLine="7"/>
        <w:jc w:val="center"/>
        <w:rPr>
          <w:rFonts w:asciiTheme="majorBidi" w:eastAsia="Calibri" w:hAnsiTheme="majorBidi" w:cstheme="majorBidi"/>
          <w:b/>
          <w:bCs/>
          <w:sz w:val="20"/>
          <w:szCs w:val="20"/>
        </w:rPr>
      </w:pPr>
      <w:r w:rsidRPr="00EB1BB6">
        <w:rPr>
          <w:rFonts w:asciiTheme="majorBidi" w:eastAsia="Calibri" w:hAnsiTheme="majorBidi" w:cstheme="majorBidi"/>
          <w:b/>
          <w:bCs/>
          <w:sz w:val="20"/>
          <w:szCs w:val="20"/>
        </w:rPr>
        <w:lastRenderedPageBreak/>
        <w:t>Table</w:t>
      </w:r>
      <w:r w:rsidR="006674B4">
        <w:rPr>
          <w:rFonts w:asciiTheme="majorBidi" w:eastAsia="Calibri" w:hAnsiTheme="majorBidi" w:cstheme="majorBidi"/>
          <w:b/>
          <w:bCs/>
          <w:sz w:val="20"/>
          <w:szCs w:val="20"/>
        </w:rPr>
        <w:t>-2</w:t>
      </w:r>
      <w:r w:rsidR="00361BCE">
        <w:rPr>
          <w:rFonts w:asciiTheme="majorBidi" w:eastAsia="Calibri" w:hAnsiTheme="majorBidi" w:cstheme="majorBidi"/>
          <w:b/>
          <w:bCs/>
          <w:sz w:val="20"/>
          <w:szCs w:val="20"/>
        </w:rPr>
        <w:t>; T</w:t>
      </w:r>
      <w:r w:rsidRPr="00EB1BB6">
        <w:rPr>
          <w:rFonts w:asciiTheme="majorBidi" w:eastAsia="Calibri" w:hAnsiTheme="majorBidi" w:cstheme="majorBidi"/>
          <w:b/>
          <w:bCs/>
          <w:sz w:val="20"/>
          <w:szCs w:val="20"/>
        </w:rPr>
        <w:t>he method of detection in different studies</w:t>
      </w:r>
    </w:p>
    <w:tbl>
      <w:tblPr>
        <w:tblStyle w:val="TableGrid"/>
        <w:tblpPr w:leftFromText="180" w:rightFromText="180" w:vertAnchor="page" w:horzAnchor="margin" w:tblpX="642" w:tblpY="2127"/>
        <w:tblW w:w="7933" w:type="dxa"/>
        <w:tblLayout w:type="fixed"/>
        <w:tblLook w:val="04A0"/>
      </w:tblPr>
      <w:tblGrid>
        <w:gridCol w:w="1379"/>
        <w:gridCol w:w="2482"/>
        <w:gridCol w:w="670"/>
        <w:gridCol w:w="3402"/>
      </w:tblGrid>
      <w:tr w:rsidR="00613711" w:rsidRPr="00F56E44" w:rsidTr="00DE4325">
        <w:trPr>
          <w:trHeight w:val="440"/>
        </w:trPr>
        <w:tc>
          <w:tcPr>
            <w:tcW w:w="1379" w:type="dxa"/>
          </w:tcPr>
          <w:p w:rsidR="00613711" w:rsidRPr="007B4C14" w:rsidRDefault="00613711" w:rsidP="00DE4325">
            <w:pPr>
              <w:tabs>
                <w:tab w:val="right" w:pos="8377"/>
              </w:tabs>
              <w:bidi w:val="0"/>
              <w:spacing w:line="360" w:lineRule="auto"/>
              <w:ind w:firstLine="7"/>
              <w:rPr>
                <w:rFonts w:asciiTheme="majorBidi" w:hAnsiTheme="majorBidi" w:cstheme="majorBidi"/>
                <w:b/>
                <w:bCs/>
                <w:color w:val="131413"/>
                <w:sz w:val="14"/>
                <w:szCs w:val="14"/>
              </w:rPr>
            </w:pPr>
            <w:r w:rsidRPr="007B4C14">
              <w:rPr>
                <w:rFonts w:asciiTheme="majorBidi" w:hAnsiTheme="majorBidi" w:cstheme="majorBidi"/>
                <w:b/>
                <w:bCs/>
                <w:color w:val="131413"/>
                <w:sz w:val="14"/>
                <w:szCs w:val="14"/>
              </w:rPr>
              <w:t>Serial</w:t>
            </w:r>
          </w:p>
        </w:tc>
        <w:tc>
          <w:tcPr>
            <w:tcW w:w="2482" w:type="dxa"/>
          </w:tcPr>
          <w:p w:rsidR="00613711" w:rsidRPr="007B4C14" w:rsidRDefault="00613711" w:rsidP="00DE4325">
            <w:pPr>
              <w:tabs>
                <w:tab w:val="right" w:pos="8377"/>
              </w:tabs>
              <w:bidi w:val="0"/>
              <w:spacing w:line="360" w:lineRule="auto"/>
              <w:ind w:firstLine="7"/>
              <w:jc w:val="center"/>
              <w:rPr>
                <w:rFonts w:asciiTheme="majorBidi" w:hAnsiTheme="majorBidi" w:cstheme="majorBidi"/>
                <w:b/>
                <w:bCs/>
                <w:color w:val="131413"/>
                <w:sz w:val="14"/>
                <w:szCs w:val="14"/>
              </w:rPr>
            </w:pPr>
            <w:r w:rsidRPr="007B4C14">
              <w:rPr>
                <w:rFonts w:asciiTheme="majorBidi" w:hAnsiTheme="majorBidi" w:cstheme="majorBidi"/>
                <w:b/>
                <w:bCs/>
                <w:color w:val="131413"/>
                <w:sz w:val="14"/>
                <w:szCs w:val="14"/>
              </w:rPr>
              <w:t>Author</w:t>
            </w:r>
          </w:p>
        </w:tc>
        <w:tc>
          <w:tcPr>
            <w:tcW w:w="670" w:type="dxa"/>
          </w:tcPr>
          <w:p w:rsidR="00613711" w:rsidRPr="007B4C14" w:rsidRDefault="00613711" w:rsidP="00DE4325">
            <w:pPr>
              <w:tabs>
                <w:tab w:val="right" w:pos="8377"/>
              </w:tabs>
              <w:bidi w:val="0"/>
              <w:spacing w:line="360" w:lineRule="auto"/>
              <w:ind w:firstLine="7"/>
              <w:rPr>
                <w:rFonts w:asciiTheme="majorBidi" w:hAnsiTheme="majorBidi" w:cstheme="majorBidi"/>
                <w:b/>
                <w:bCs/>
                <w:color w:val="131413"/>
                <w:sz w:val="14"/>
                <w:szCs w:val="14"/>
              </w:rPr>
            </w:pPr>
            <w:r w:rsidRPr="007B4C14">
              <w:rPr>
                <w:rFonts w:asciiTheme="majorBidi" w:hAnsiTheme="majorBidi" w:cstheme="majorBidi"/>
                <w:b/>
                <w:bCs/>
                <w:color w:val="131413"/>
                <w:sz w:val="14"/>
                <w:szCs w:val="14"/>
              </w:rPr>
              <w:t>year</w:t>
            </w:r>
          </w:p>
        </w:tc>
        <w:tc>
          <w:tcPr>
            <w:tcW w:w="3402" w:type="dxa"/>
          </w:tcPr>
          <w:p w:rsidR="00613711" w:rsidRPr="007B4C14" w:rsidRDefault="00132BF1" w:rsidP="00DE4325">
            <w:pPr>
              <w:tabs>
                <w:tab w:val="right" w:pos="8377"/>
              </w:tabs>
              <w:bidi w:val="0"/>
              <w:spacing w:line="360" w:lineRule="auto"/>
              <w:ind w:firstLine="7"/>
              <w:rPr>
                <w:rFonts w:asciiTheme="majorBidi" w:hAnsiTheme="majorBidi" w:cstheme="majorBidi"/>
                <w:b/>
                <w:bCs/>
                <w:color w:val="131413"/>
                <w:sz w:val="14"/>
                <w:szCs w:val="14"/>
              </w:rPr>
            </w:pPr>
            <w:r w:rsidRPr="007B4C14">
              <w:rPr>
                <w:rFonts w:asciiTheme="majorBidi" w:hAnsiTheme="majorBidi" w:cstheme="majorBidi"/>
                <w:b/>
                <w:bCs/>
                <w:color w:val="131413"/>
                <w:sz w:val="14"/>
                <w:szCs w:val="14"/>
              </w:rPr>
              <w:t>Method</w:t>
            </w:r>
          </w:p>
        </w:tc>
      </w:tr>
      <w:tr w:rsidR="00613711" w:rsidRPr="00F56E44" w:rsidTr="00DE4325">
        <w:trPr>
          <w:trHeight w:val="247"/>
        </w:trPr>
        <w:tc>
          <w:tcPr>
            <w:tcW w:w="1379" w:type="dxa"/>
          </w:tcPr>
          <w:p w:rsidR="00613711" w:rsidRPr="007B4C14" w:rsidRDefault="00613711" w:rsidP="00DE4325">
            <w:pPr>
              <w:tabs>
                <w:tab w:val="right" w:pos="8377"/>
              </w:tabs>
              <w:bidi w:val="0"/>
              <w:spacing w:line="360" w:lineRule="auto"/>
              <w:ind w:firstLine="7"/>
              <w:rPr>
                <w:rFonts w:asciiTheme="majorBidi" w:hAnsiTheme="majorBidi" w:cstheme="majorBidi"/>
                <w:b/>
                <w:bCs/>
                <w:color w:val="131413"/>
                <w:sz w:val="14"/>
                <w:szCs w:val="14"/>
              </w:rPr>
            </w:pPr>
            <w:r w:rsidRPr="007B4C14">
              <w:rPr>
                <w:rFonts w:asciiTheme="majorBidi" w:hAnsiTheme="majorBidi" w:cstheme="majorBidi"/>
                <w:b/>
                <w:bCs/>
                <w:color w:val="131413"/>
                <w:sz w:val="14"/>
                <w:szCs w:val="14"/>
              </w:rPr>
              <w:t>1</w:t>
            </w:r>
          </w:p>
        </w:tc>
        <w:tc>
          <w:tcPr>
            <w:tcW w:w="2482" w:type="dxa"/>
          </w:tcPr>
          <w:p w:rsidR="00613711" w:rsidRPr="007B4C14" w:rsidRDefault="00613711" w:rsidP="00DE4325">
            <w:pPr>
              <w:tabs>
                <w:tab w:val="right" w:pos="8377"/>
              </w:tabs>
              <w:bidi w:val="0"/>
              <w:spacing w:line="360" w:lineRule="auto"/>
              <w:ind w:firstLine="7"/>
              <w:rPr>
                <w:rFonts w:asciiTheme="majorBidi" w:hAnsiTheme="majorBidi" w:cstheme="majorBidi"/>
                <w:b/>
                <w:bCs/>
                <w:color w:val="131413"/>
                <w:sz w:val="14"/>
                <w:szCs w:val="14"/>
              </w:rPr>
            </w:pPr>
            <w:r w:rsidRPr="007B4C14">
              <w:rPr>
                <w:rFonts w:asciiTheme="majorBidi" w:hAnsiTheme="majorBidi" w:cstheme="majorBidi"/>
                <w:b/>
                <w:bCs/>
                <w:color w:val="131413"/>
                <w:sz w:val="14"/>
                <w:szCs w:val="14"/>
              </w:rPr>
              <w:t>Chava Perry, et al</w:t>
            </w:r>
          </w:p>
        </w:tc>
        <w:tc>
          <w:tcPr>
            <w:tcW w:w="670" w:type="dxa"/>
          </w:tcPr>
          <w:p w:rsidR="00613711" w:rsidRPr="007B4C14" w:rsidRDefault="00613711" w:rsidP="00DE4325">
            <w:pPr>
              <w:tabs>
                <w:tab w:val="right" w:pos="8377"/>
              </w:tabs>
              <w:bidi w:val="0"/>
              <w:spacing w:line="360" w:lineRule="auto"/>
              <w:ind w:firstLine="7"/>
              <w:rPr>
                <w:rFonts w:asciiTheme="majorBidi" w:hAnsiTheme="majorBidi" w:cstheme="majorBidi"/>
                <w:b/>
                <w:bCs/>
                <w:color w:val="131413"/>
                <w:sz w:val="14"/>
                <w:szCs w:val="14"/>
              </w:rPr>
            </w:pPr>
            <w:r w:rsidRPr="007B4C14">
              <w:rPr>
                <w:rFonts w:asciiTheme="majorBidi" w:hAnsiTheme="majorBidi" w:cstheme="majorBidi"/>
                <w:b/>
                <w:bCs/>
                <w:color w:val="131413"/>
                <w:sz w:val="14"/>
                <w:szCs w:val="14"/>
              </w:rPr>
              <w:t>2012</w:t>
            </w:r>
          </w:p>
        </w:tc>
        <w:tc>
          <w:tcPr>
            <w:tcW w:w="3402" w:type="dxa"/>
          </w:tcPr>
          <w:p w:rsidR="00613711" w:rsidRPr="007B4C14" w:rsidRDefault="006674B4" w:rsidP="00DE4325">
            <w:pPr>
              <w:tabs>
                <w:tab w:val="right" w:pos="8377"/>
              </w:tabs>
              <w:bidi w:val="0"/>
              <w:spacing w:line="360" w:lineRule="auto"/>
              <w:ind w:firstLine="7"/>
              <w:rPr>
                <w:rFonts w:asciiTheme="majorBidi" w:hAnsiTheme="majorBidi" w:cstheme="majorBidi"/>
                <w:b/>
                <w:bCs/>
                <w:color w:val="131413"/>
                <w:sz w:val="14"/>
                <w:szCs w:val="14"/>
              </w:rPr>
            </w:pPr>
            <w:r w:rsidRPr="007B4C14">
              <w:rPr>
                <w:rFonts w:asciiTheme="majorBidi" w:hAnsiTheme="majorBidi" w:cstheme="majorBidi"/>
                <w:b/>
                <w:bCs/>
                <w:color w:val="131413"/>
                <w:sz w:val="14"/>
                <w:szCs w:val="14"/>
              </w:rPr>
              <w:t>F</w:t>
            </w:r>
            <w:r w:rsidR="00613711" w:rsidRPr="007B4C14">
              <w:rPr>
                <w:rFonts w:asciiTheme="majorBidi" w:hAnsiTheme="majorBidi" w:cstheme="majorBidi"/>
                <w:b/>
                <w:bCs/>
                <w:color w:val="131413"/>
                <w:sz w:val="14"/>
                <w:szCs w:val="14"/>
              </w:rPr>
              <w:t>lowcytometry</w:t>
            </w:r>
          </w:p>
        </w:tc>
      </w:tr>
      <w:tr w:rsidR="00613711" w:rsidRPr="00F56E44" w:rsidTr="00DE4325">
        <w:trPr>
          <w:trHeight w:val="137"/>
        </w:trPr>
        <w:tc>
          <w:tcPr>
            <w:tcW w:w="1379" w:type="dxa"/>
          </w:tcPr>
          <w:p w:rsidR="00613711" w:rsidRPr="007B4C14" w:rsidRDefault="00613711" w:rsidP="00DE4325">
            <w:pPr>
              <w:tabs>
                <w:tab w:val="right" w:pos="8377"/>
              </w:tabs>
              <w:bidi w:val="0"/>
              <w:spacing w:line="360" w:lineRule="auto"/>
              <w:ind w:firstLine="7"/>
              <w:rPr>
                <w:rFonts w:asciiTheme="majorBidi" w:hAnsiTheme="majorBidi" w:cstheme="majorBidi"/>
                <w:b/>
                <w:bCs/>
                <w:color w:val="131413"/>
                <w:sz w:val="14"/>
                <w:szCs w:val="14"/>
              </w:rPr>
            </w:pPr>
            <w:r w:rsidRPr="007B4C14">
              <w:rPr>
                <w:rFonts w:asciiTheme="majorBidi" w:hAnsiTheme="majorBidi" w:cstheme="majorBidi"/>
                <w:b/>
                <w:bCs/>
                <w:color w:val="131413"/>
                <w:sz w:val="14"/>
                <w:szCs w:val="14"/>
              </w:rPr>
              <w:t>2</w:t>
            </w:r>
          </w:p>
        </w:tc>
        <w:tc>
          <w:tcPr>
            <w:tcW w:w="2482" w:type="dxa"/>
          </w:tcPr>
          <w:p w:rsidR="00613711" w:rsidRPr="007B4C14" w:rsidRDefault="00613711" w:rsidP="00DE4325">
            <w:pPr>
              <w:tabs>
                <w:tab w:val="right" w:pos="8377"/>
              </w:tabs>
              <w:bidi w:val="0"/>
              <w:spacing w:line="360" w:lineRule="auto"/>
              <w:ind w:firstLine="7"/>
              <w:rPr>
                <w:rFonts w:asciiTheme="majorBidi" w:hAnsiTheme="majorBidi" w:cstheme="majorBidi"/>
                <w:b/>
                <w:bCs/>
                <w:color w:val="131413"/>
                <w:sz w:val="14"/>
                <w:szCs w:val="14"/>
              </w:rPr>
            </w:pPr>
            <w:r w:rsidRPr="007B4C14">
              <w:rPr>
                <w:rFonts w:asciiTheme="majorBidi" w:hAnsiTheme="majorBidi" w:cstheme="majorBidi"/>
                <w:b/>
                <w:bCs/>
                <w:color w:val="131413"/>
                <w:sz w:val="14"/>
                <w:szCs w:val="14"/>
              </w:rPr>
              <w:t>Nashwa Khairat Abousamra , et al</w:t>
            </w:r>
          </w:p>
        </w:tc>
        <w:tc>
          <w:tcPr>
            <w:tcW w:w="670" w:type="dxa"/>
          </w:tcPr>
          <w:p w:rsidR="00613711" w:rsidRPr="007B4C14" w:rsidRDefault="00613711" w:rsidP="00DE4325">
            <w:pPr>
              <w:tabs>
                <w:tab w:val="right" w:pos="8377"/>
              </w:tabs>
              <w:bidi w:val="0"/>
              <w:spacing w:line="360" w:lineRule="auto"/>
              <w:ind w:firstLine="7"/>
              <w:rPr>
                <w:rFonts w:asciiTheme="majorBidi" w:hAnsiTheme="majorBidi" w:cstheme="majorBidi"/>
                <w:b/>
                <w:bCs/>
                <w:color w:val="131413"/>
                <w:sz w:val="14"/>
                <w:szCs w:val="14"/>
              </w:rPr>
            </w:pPr>
            <w:r w:rsidRPr="007B4C14">
              <w:rPr>
                <w:rFonts w:asciiTheme="majorBidi" w:hAnsiTheme="majorBidi" w:cstheme="majorBidi"/>
                <w:b/>
                <w:bCs/>
                <w:color w:val="131413"/>
                <w:sz w:val="14"/>
                <w:szCs w:val="14"/>
              </w:rPr>
              <w:t>2015</w:t>
            </w:r>
          </w:p>
        </w:tc>
        <w:tc>
          <w:tcPr>
            <w:tcW w:w="3402" w:type="dxa"/>
          </w:tcPr>
          <w:p w:rsidR="00613711" w:rsidRPr="007B4C14" w:rsidRDefault="006674B4" w:rsidP="00DE4325">
            <w:pPr>
              <w:tabs>
                <w:tab w:val="right" w:pos="8377"/>
              </w:tabs>
              <w:bidi w:val="0"/>
              <w:spacing w:line="360" w:lineRule="auto"/>
              <w:ind w:firstLine="7"/>
              <w:rPr>
                <w:rFonts w:asciiTheme="majorBidi" w:hAnsiTheme="majorBidi" w:cstheme="majorBidi"/>
                <w:b/>
                <w:bCs/>
                <w:color w:val="131413"/>
                <w:sz w:val="14"/>
                <w:szCs w:val="14"/>
              </w:rPr>
            </w:pPr>
            <w:r w:rsidRPr="007B4C14">
              <w:rPr>
                <w:rFonts w:asciiTheme="majorBidi" w:hAnsiTheme="majorBidi" w:cstheme="majorBidi"/>
                <w:b/>
                <w:bCs/>
                <w:color w:val="131413"/>
                <w:sz w:val="14"/>
                <w:szCs w:val="14"/>
              </w:rPr>
              <w:t>F</w:t>
            </w:r>
            <w:r w:rsidR="00613711" w:rsidRPr="007B4C14">
              <w:rPr>
                <w:rFonts w:asciiTheme="majorBidi" w:hAnsiTheme="majorBidi" w:cstheme="majorBidi"/>
                <w:b/>
                <w:bCs/>
                <w:color w:val="131413"/>
                <w:sz w:val="14"/>
                <w:szCs w:val="14"/>
              </w:rPr>
              <w:t>lowcytometry</w:t>
            </w:r>
          </w:p>
        </w:tc>
      </w:tr>
      <w:tr w:rsidR="00613711" w:rsidRPr="00F56E44" w:rsidTr="00DE4325">
        <w:trPr>
          <w:trHeight w:val="431"/>
        </w:trPr>
        <w:tc>
          <w:tcPr>
            <w:tcW w:w="1379" w:type="dxa"/>
          </w:tcPr>
          <w:p w:rsidR="00613711" w:rsidRPr="007B4C14" w:rsidRDefault="00613711" w:rsidP="00DE4325">
            <w:pPr>
              <w:tabs>
                <w:tab w:val="right" w:pos="8377"/>
              </w:tabs>
              <w:bidi w:val="0"/>
              <w:spacing w:line="360" w:lineRule="auto"/>
              <w:ind w:firstLine="7"/>
              <w:rPr>
                <w:rFonts w:asciiTheme="majorBidi" w:hAnsiTheme="majorBidi" w:cstheme="majorBidi"/>
                <w:b/>
                <w:bCs/>
                <w:color w:val="131413"/>
                <w:sz w:val="14"/>
                <w:szCs w:val="14"/>
              </w:rPr>
            </w:pPr>
            <w:r w:rsidRPr="007B4C14">
              <w:rPr>
                <w:rFonts w:asciiTheme="majorBidi" w:hAnsiTheme="majorBidi" w:cstheme="majorBidi"/>
                <w:b/>
                <w:bCs/>
                <w:color w:val="131413"/>
                <w:sz w:val="14"/>
                <w:szCs w:val="14"/>
              </w:rPr>
              <w:t>3</w:t>
            </w:r>
          </w:p>
        </w:tc>
        <w:tc>
          <w:tcPr>
            <w:tcW w:w="2482" w:type="dxa"/>
          </w:tcPr>
          <w:p w:rsidR="00613711" w:rsidRPr="007B4C14" w:rsidRDefault="00613711" w:rsidP="00DE4325">
            <w:pPr>
              <w:tabs>
                <w:tab w:val="right" w:pos="8377"/>
              </w:tabs>
              <w:bidi w:val="0"/>
              <w:spacing w:line="360" w:lineRule="auto"/>
              <w:ind w:firstLine="7"/>
              <w:rPr>
                <w:rFonts w:asciiTheme="majorBidi" w:hAnsiTheme="majorBidi" w:cstheme="majorBidi"/>
                <w:b/>
                <w:bCs/>
                <w:color w:val="131413"/>
                <w:sz w:val="14"/>
                <w:szCs w:val="14"/>
              </w:rPr>
            </w:pPr>
            <w:r w:rsidRPr="007B4C14">
              <w:rPr>
                <w:rFonts w:asciiTheme="majorBidi" w:hAnsiTheme="majorBidi" w:cstheme="majorBidi"/>
                <w:b/>
                <w:bCs/>
                <w:color w:val="131413"/>
                <w:sz w:val="14"/>
                <w:szCs w:val="14"/>
              </w:rPr>
              <w:t>Dianne Pulte and Richard, et al</w:t>
            </w:r>
          </w:p>
        </w:tc>
        <w:tc>
          <w:tcPr>
            <w:tcW w:w="670" w:type="dxa"/>
          </w:tcPr>
          <w:p w:rsidR="00613711" w:rsidRPr="007B4C14" w:rsidRDefault="00613711" w:rsidP="00DE4325">
            <w:pPr>
              <w:tabs>
                <w:tab w:val="right" w:pos="8377"/>
              </w:tabs>
              <w:bidi w:val="0"/>
              <w:spacing w:line="360" w:lineRule="auto"/>
              <w:ind w:firstLine="7"/>
              <w:rPr>
                <w:rFonts w:asciiTheme="majorBidi" w:hAnsiTheme="majorBidi" w:cstheme="majorBidi"/>
                <w:b/>
                <w:bCs/>
                <w:color w:val="131413"/>
                <w:sz w:val="14"/>
                <w:szCs w:val="14"/>
              </w:rPr>
            </w:pPr>
            <w:r w:rsidRPr="007B4C14">
              <w:rPr>
                <w:rFonts w:asciiTheme="majorBidi" w:hAnsiTheme="majorBidi" w:cstheme="majorBidi"/>
                <w:b/>
                <w:bCs/>
                <w:color w:val="131413"/>
                <w:sz w:val="14"/>
                <w:szCs w:val="14"/>
              </w:rPr>
              <w:t>2011</w:t>
            </w:r>
          </w:p>
        </w:tc>
        <w:tc>
          <w:tcPr>
            <w:tcW w:w="3402" w:type="dxa"/>
          </w:tcPr>
          <w:p w:rsidR="00613711" w:rsidRPr="007B4C14" w:rsidRDefault="006674B4" w:rsidP="00DE4325">
            <w:pPr>
              <w:tabs>
                <w:tab w:val="right" w:pos="8377"/>
              </w:tabs>
              <w:bidi w:val="0"/>
              <w:spacing w:line="360" w:lineRule="auto"/>
              <w:ind w:firstLine="7"/>
              <w:rPr>
                <w:rFonts w:asciiTheme="majorBidi" w:hAnsiTheme="majorBidi" w:cstheme="majorBidi"/>
                <w:b/>
                <w:bCs/>
                <w:color w:val="131413"/>
                <w:sz w:val="14"/>
                <w:szCs w:val="14"/>
              </w:rPr>
            </w:pPr>
            <w:r w:rsidRPr="007B4C14">
              <w:rPr>
                <w:rFonts w:asciiTheme="majorBidi" w:hAnsiTheme="majorBidi" w:cstheme="majorBidi"/>
                <w:b/>
                <w:bCs/>
                <w:color w:val="131413"/>
                <w:sz w:val="14"/>
                <w:szCs w:val="14"/>
              </w:rPr>
              <w:t>F</w:t>
            </w:r>
            <w:r w:rsidR="00613711" w:rsidRPr="007B4C14">
              <w:rPr>
                <w:rFonts w:asciiTheme="majorBidi" w:hAnsiTheme="majorBidi" w:cstheme="majorBidi"/>
                <w:b/>
                <w:bCs/>
                <w:color w:val="131413"/>
                <w:sz w:val="14"/>
                <w:szCs w:val="14"/>
              </w:rPr>
              <w:t>lowcytometry</w:t>
            </w:r>
          </w:p>
        </w:tc>
      </w:tr>
      <w:tr w:rsidR="00613711" w:rsidRPr="00F56E44" w:rsidTr="00DE4325">
        <w:trPr>
          <w:trHeight w:val="359"/>
        </w:trPr>
        <w:tc>
          <w:tcPr>
            <w:tcW w:w="1379" w:type="dxa"/>
          </w:tcPr>
          <w:p w:rsidR="00613711" w:rsidRPr="007B4C14" w:rsidRDefault="00613711" w:rsidP="00DE4325">
            <w:pPr>
              <w:tabs>
                <w:tab w:val="right" w:pos="8377"/>
              </w:tabs>
              <w:bidi w:val="0"/>
              <w:spacing w:line="360" w:lineRule="auto"/>
              <w:ind w:firstLine="7"/>
              <w:rPr>
                <w:rFonts w:asciiTheme="majorBidi" w:hAnsiTheme="majorBidi" w:cstheme="majorBidi"/>
                <w:b/>
                <w:bCs/>
                <w:color w:val="131413"/>
                <w:sz w:val="14"/>
                <w:szCs w:val="14"/>
              </w:rPr>
            </w:pPr>
            <w:r w:rsidRPr="007B4C14">
              <w:rPr>
                <w:rFonts w:asciiTheme="majorBidi" w:hAnsiTheme="majorBidi" w:cstheme="majorBidi"/>
                <w:b/>
                <w:bCs/>
                <w:color w:val="131413"/>
                <w:sz w:val="14"/>
                <w:szCs w:val="14"/>
              </w:rPr>
              <w:t>4</w:t>
            </w:r>
          </w:p>
        </w:tc>
        <w:tc>
          <w:tcPr>
            <w:tcW w:w="2482" w:type="dxa"/>
          </w:tcPr>
          <w:p w:rsidR="00613711" w:rsidRPr="007B4C14" w:rsidRDefault="00613711" w:rsidP="00DE4325">
            <w:pPr>
              <w:tabs>
                <w:tab w:val="right" w:pos="8377"/>
              </w:tabs>
              <w:bidi w:val="0"/>
              <w:spacing w:line="360" w:lineRule="auto"/>
              <w:ind w:firstLine="7"/>
              <w:rPr>
                <w:rFonts w:asciiTheme="majorBidi" w:hAnsiTheme="majorBidi" w:cstheme="majorBidi"/>
                <w:b/>
                <w:bCs/>
                <w:color w:val="131413"/>
                <w:sz w:val="14"/>
                <w:szCs w:val="14"/>
              </w:rPr>
            </w:pPr>
            <w:r w:rsidRPr="007B4C14">
              <w:rPr>
                <w:rFonts w:asciiTheme="majorBidi" w:hAnsiTheme="majorBidi" w:cstheme="majorBidi"/>
                <w:b/>
                <w:bCs/>
                <w:color w:val="131413"/>
                <w:sz w:val="14"/>
                <w:szCs w:val="14"/>
              </w:rPr>
              <w:t>Dianne Pulte and Olson, et al</w:t>
            </w:r>
          </w:p>
        </w:tc>
        <w:tc>
          <w:tcPr>
            <w:tcW w:w="670" w:type="dxa"/>
          </w:tcPr>
          <w:p w:rsidR="00613711" w:rsidRPr="007B4C14" w:rsidRDefault="00613711" w:rsidP="00DE4325">
            <w:pPr>
              <w:tabs>
                <w:tab w:val="right" w:pos="8377"/>
              </w:tabs>
              <w:bidi w:val="0"/>
              <w:spacing w:line="360" w:lineRule="auto"/>
              <w:ind w:firstLine="7"/>
              <w:rPr>
                <w:rFonts w:asciiTheme="majorBidi" w:hAnsiTheme="majorBidi" w:cstheme="majorBidi"/>
                <w:b/>
                <w:bCs/>
                <w:color w:val="131413"/>
                <w:sz w:val="14"/>
                <w:szCs w:val="14"/>
              </w:rPr>
            </w:pPr>
            <w:r w:rsidRPr="007B4C14">
              <w:rPr>
                <w:rFonts w:asciiTheme="majorBidi" w:hAnsiTheme="majorBidi" w:cstheme="majorBidi"/>
                <w:b/>
                <w:bCs/>
                <w:color w:val="131413"/>
                <w:sz w:val="14"/>
                <w:szCs w:val="14"/>
              </w:rPr>
              <w:t>2007</w:t>
            </w:r>
          </w:p>
        </w:tc>
        <w:tc>
          <w:tcPr>
            <w:tcW w:w="3402" w:type="dxa"/>
          </w:tcPr>
          <w:p w:rsidR="00613711" w:rsidRPr="007B4C14" w:rsidRDefault="006674B4" w:rsidP="00DE4325">
            <w:pPr>
              <w:tabs>
                <w:tab w:val="right" w:pos="8377"/>
              </w:tabs>
              <w:bidi w:val="0"/>
              <w:spacing w:line="360" w:lineRule="auto"/>
              <w:ind w:firstLine="7"/>
              <w:rPr>
                <w:rFonts w:asciiTheme="majorBidi" w:hAnsiTheme="majorBidi" w:cstheme="majorBidi"/>
                <w:b/>
                <w:bCs/>
                <w:color w:val="131413"/>
                <w:sz w:val="14"/>
                <w:szCs w:val="14"/>
              </w:rPr>
            </w:pPr>
            <w:r w:rsidRPr="007B4C14">
              <w:rPr>
                <w:rFonts w:asciiTheme="majorBidi" w:hAnsiTheme="majorBidi" w:cstheme="majorBidi"/>
                <w:b/>
                <w:bCs/>
                <w:color w:val="131413"/>
                <w:sz w:val="14"/>
                <w:szCs w:val="14"/>
              </w:rPr>
              <w:t>F</w:t>
            </w:r>
            <w:r w:rsidR="00613711" w:rsidRPr="007B4C14">
              <w:rPr>
                <w:rFonts w:asciiTheme="majorBidi" w:hAnsiTheme="majorBidi" w:cstheme="majorBidi"/>
                <w:b/>
                <w:bCs/>
                <w:color w:val="131413"/>
                <w:sz w:val="14"/>
                <w:szCs w:val="14"/>
              </w:rPr>
              <w:t>lowcytometry</w:t>
            </w:r>
          </w:p>
        </w:tc>
      </w:tr>
      <w:tr w:rsidR="00613711" w:rsidRPr="00F56E44" w:rsidTr="00DE4325">
        <w:trPr>
          <w:trHeight w:val="70"/>
        </w:trPr>
        <w:tc>
          <w:tcPr>
            <w:tcW w:w="1379" w:type="dxa"/>
          </w:tcPr>
          <w:p w:rsidR="00613711" w:rsidRPr="007B4C14" w:rsidRDefault="00613711" w:rsidP="00DE4325">
            <w:pPr>
              <w:tabs>
                <w:tab w:val="right" w:pos="8377"/>
              </w:tabs>
              <w:bidi w:val="0"/>
              <w:spacing w:line="360" w:lineRule="auto"/>
              <w:ind w:firstLine="7"/>
              <w:rPr>
                <w:rFonts w:asciiTheme="majorBidi" w:hAnsiTheme="majorBidi" w:cstheme="majorBidi"/>
                <w:b/>
                <w:bCs/>
                <w:color w:val="131413"/>
                <w:sz w:val="14"/>
                <w:szCs w:val="14"/>
              </w:rPr>
            </w:pPr>
            <w:r w:rsidRPr="007B4C14">
              <w:rPr>
                <w:rFonts w:asciiTheme="majorBidi" w:hAnsiTheme="majorBidi" w:cstheme="majorBidi"/>
                <w:b/>
                <w:bCs/>
                <w:color w:val="131413"/>
                <w:sz w:val="14"/>
                <w:szCs w:val="14"/>
              </w:rPr>
              <w:t>5</w:t>
            </w:r>
          </w:p>
        </w:tc>
        <w:tc>
          <w:tcPr>
            <w:tcW w:w="2482" w:type="dxa"/>
          </w:tcPr>
          <w:p w:rsidR="00613711" w:rsidRPr="007B4C14" w:rsidRDefault="00613711" w:rsidP="00DE4325">
            <w:pPr>
              <w:tabs>
                <w:tab w:val="right" w:pos="8377"/>
              </w:tabs>
              <w:bidi w:val="0"/>
              <w:spacing w:line="360" w:lineRule="auto"/>
              <w:ind w:firstLine="7"/>
              <w:rPr>
                <w:rFonts w:asciiTheme="majorBidi" w:hAnsiTheme="majorBidi" w:cstheme="majorBidi"/>
                <w:b/>
                <w:bCs/>
                <w:color w:val="131413"/>
                <w:sz w:val="14"/>
                <w:szCs w:val="14"/>
              </w:rPr>
            </w:pPr>
            <w:r w:rsidRPr="007B4C14">
              <w:rPr>
                <w:rFonts w:asciiTheme="majorBidi" w:hAnsiTheme="majorBidi" w:cstheme="majorBidi"/>
                <w:b/>
                <w:bCs/>
                <w:color w:val="131413"/>
                <w:sz w:val="14"/>
                <w:szCs w:val="14"/>
              </w:rPr>
              <w:t>Jeremy Bastid, et al</w:t>
            </w:r>
          </w:p>
        </w:tc>
        <w:tc>
          <w:tcPr>
            <w:tcW w:w="670" w:type="dxa"/>
          </w:tcPr>
          <w:p w:rsidR="00613711" w:rsidRPr="007B4C14" w:rsidRDefault="00613711" w:rsidP="00DE4325">
            <w:pPr>
              <w:tabs>
                <w:tab w:val="right" w:pos="8377"/>
              </w:tabs>
              <w:bidi w:val="0"/>
              <w:spacing w:line="360" w:lineRule="auto"/>
              <w:ind w:firstLine="7"/>
              <w:rPr>
                <w:rFonts w:asciiTheme="majorBidi" w:hAnsiTheme="majorBidi" w:cstheme="majorBidi"/>
                <w:b/>
                <w:bCs/>
                <w:color w:val="131413"/>
                <w:sz w:val="14"/>
                <w:szCs w:val="14"/>
              </w:rPr>
            </w:pPr>
            <w:r w:rsidRPr="007B4C14">
              <w:rPr>
                <w:rFonts w:asciiTheme="majorBidi" w:hAnsiTheme="majorBidi" w:cstheme="majorBidi"/>
                <w:b/>
                <w:bCs/>
                <w:color w:val="131413"/>
                <w:sz w:val="14"/>
                <w:szCs w:val="14"/>
              </w:rPr>
              <w:t>2014</w:t>
            </w:r>
          </w:p>
        </w:tc>
        <w:tc>
          <w:tcPr>
            <w:tcW w:w="3402" w:type="dxa"/>
          </w:tcPr>
          <w:p w:rsidR="00613711" w:rsidRPr="007B4C14" w:rsidRDefault="00613711" w:rsidP="00DE4325">
            <w:pPr>
              <w:tabs>
                <w:tab w:val="right" w:pos="8377"/>
              </w:tabs>
              <w:bidi w:val="0"/>
              <w:spacing w:line="360" w:lineRule="auto"/>
              <w:ind w:firstLine="7"/>
              <w:rPr>
                <w:rFonts w:asciiTheme="majorBidi" w:hAnsiTheme="majorBidi" w:cstheme="majorBidi"/>
                <w:b/>
                <w:bCs/>
                <w:color w:val="131413"/>
                <w:sz w:val="14"/>
                <w:szCs w:val="14"/>
              </w:rPr>
            </w:pPr>
            <w:r w:rsidRPr="007B4C14">
              <w:rPr>
                <w:rFonts w:asciiTheme="majorBidi" w:hAnsiTheme="majorBidi" w:cstheme="majorBidi"/>
                <w:b/>
                <w:bCs/>
                <w:color w:val="131413"/>
                <w:sz w:val="14"/>
                <w:szCs w:val="14"/>
              </w:rPr>
              <w:t>Flowcytometry and immunohistochimistry</w:t>
            </w:r>
          </w:p>
        </w:tc>
      </w:tr>
    </w:tbl>
    <w:p w:rsidR="00613711" w:rsidRPr="00613711" w:rsidRDefault="00613711" w:rsidP="00613711">
      <w:pPr>
        <w:bidi w:val="0"/>
        <w:spacing w:line="240" w:lineRule="auto"/>
        <w:rPr>
          <w:rFonts w:ascii="Times New Roman" w:hAnsi="Times New Roman" w:cs="Times New Roman"/>
          <w:sz w:val="24"/>
          <w:szCs w:val="24"/>
          <w:rtl/>
        </w:rPr>
      </w:pPr>
    </w:p>
    <w:p w:rsidR="00613711" w:rsidRPr="00EB1BB6" w:rsidRDefault="00613711" w:rsidP="00EB1BB6">
      <w:pPr>
        <w:tabs>
          <w:tab w:val="right" w:pos="8377"/>
        </w:tabs>
        <w:autoSpaceDE w:val="0"/>
        <w:autoSpaceDN w:val="0"/>
        <w:bidi w:val="0"/>
        <w:adjustRightInd w:val="0"/>
        <w:spacing w:before="240" w:after="0" w:line="360" w:lineRule="auto"/>
        <w:ind w:firstLine="7"/>
        <w:jc w:val="center"/>
        <w:rPr>
          <w:rFonts w:asciiTheme="majorBidi" w:eastAsia="Calibri" w:hAnsiTheme="majorBidi" w:cstheme="majorBidi"/>
          <w:b/>
          <w:bCs/>
          <w:sz w:val="20"/>
          <w:szCs w:val="20"/>
          <w:rtl/>
        </w:rPr>
      </w:pPr>
      <w:r w:rsidRPr="00EB1BB6">
        <w:rPr>
          <w:rFonts w:asciiTheme="majorBidi" w:eastAsia="Calibri" w:hAnsiTheme="majorBidi" w:cstheme="majorBidi"/>
          <w:b/>
          <w:bCs/>
          <w:sz w:val="20"/>
          <w:szCs w:val="20"/>
        </w:rPr>
        <w:t>Table</w:t>
      </w:r>
      <w:r w:rsidR="006674B4">
        <w:rPr>
          <w:rFonts w:asciiTheme="majorBidi" w:eastAsia="Calibri" w:hAnsiTheme="majorBidi" w:cstheme="majorBidi"/>
          <w:b/>
          <w:bCs/>
          <w:sz w:val="20"/>
          <w:szCs w:val="20"/>
        </w:rPr>
        <w:t>-3</w:t>
      </w:r>
      <w:r w:rsidR="00361BCE">
        <w:rPr>
          <w:rFonts w:asciiTheme="majorBidi" w:eastAsia="Calibri" w:hAnsiTheme="majorBidi" w:cstheme="majorBidi"/>
          <w:b/>
          <w:bCs/>
          <w:sz w:val="20"/>
          <w:szCs w:val="20"/>
        </w:rPr>
        <w:t xml:space="preserve"> ; C</w:t>
      </w:r>
      <w:r w:rsidRPr="00EB1BB6">
        <w:rPr>
          <w:rFonts w:asciiTheme="majorBidi" w:eastAsia="Calibri" w:hAnsiTheme="majorBidi" w:cstheme="majorBidi"/>
          <w:b/>
          <w:bCs/>
          <w:sz w:val="20"/>
          <w:szCs w:val="20"/>
        </w:rPr>
        <w:t>omparison between stage of the disease and level of CD39</w:t>
      </w:r>
    </w:p>
    <w:tbl>
      <w:tblPr>
        <w:tblStyle w:val="TableGrid"/>
        <w:tblW w:w="0" w:type="auto"/>
        <w:tblInd w:w="198" w:type="dxa"/>
        <w:tblLook w:val="04A0"/>
      </w:tblPr>
      <w:tblGrid>
        <w:gridCol w:w="990"/>
        <w:gridCol w:w="2937"/>
        <w:gridCol w:w="1381"/>
        <w:gridCol w:w="1802"/>
        <w:gridCol w:w="1800"/>
      </w:tblGrid>
      <w:tr w:rsidR="00613711" w:rsidRPr="00F56E44" w:rsidTr="00613711">
        <w:trPr>
          <w:trHeight w:val="332"/>
        </w:trPr>
        <w:tc>
          <w:tcPr>
            <w:tcW w:w="990" w:type="dxa"/>
          </w:tcPr>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Serial</w:t>
            </w:r>
          </w:p>
        </w:tc>
        <w:tc>
          <w:tcPr>
            <w:tcW w:w="2937" w:type="dxa"/>
          </w:tcPr>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Author</w:t>
            </w:r>
          </w:p>
        </w:tc>
        <w:tc>
          <w:tcPr>
            <w:tcW w:w="1381" w:type="dxa"/>
          </w:tcPr>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Year</w:t>
            </w:r>
          </w:p>
        </w:tc>
        <w:tc>
          <w:tcPr>
            <w:tcW w:w="1802" w:type="dxa"/>
          </w:tcPr>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Stage</w:t>
            </w:r>
          </w:p>
        </w:tc>
        <w:tc>
          <w:tcPr>
            <w:tcW w:w="1800" w:type="dxa"/>
          </w:tcPr>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Level of CD39</w:t>
            </w:r>
            <w:r w:rsidR="00361BCE" w:rsidRPr="00DE4325">
              <w:rPr>
                <w:rFonts w:asciiTheme="majorBidi" w:hAnsiTheme="majorBidi" w:cstheme="majorBidi"/>
                <w:b/>
                <w:bCs/>
                <w:color w:val="131413"/>
                <w:sz w:val="14"/>
                <w:szCs w:val="14"/>
              </w:rPr>
              <w:t xml:space="preserve"> expresseion</w:t>
            </w:r>
            <w:r w:rsidR="009E31A1" w:rsidRPr="00DE4325">
              <w:rPr>
                <w:rFonts w:asciiTheme="majorBidi" w:hAnsiTheme="majorBidi" w:cstheme="majorBidi"/>
                <w:b/>
                <w:bCs/>
                <w:color w:val="131413"/>
                <w:sz w:val="14"/>
                <w:szCs w:val="14"/>
              </w:rPr>
              <w:t>(%)</w:t>
            </w:r>
          </w:p>
        </w:tc>
      </w:tr>
      <w:tr w:rsidR="00613711" w:rsidRPr="00F56E44" w:rsidTr="00DE4325">
        <w:trPr>
          <w:trHeight w:val="1573"/>
        </w:trPr>
        <w:tc>
          <w:tcPr>
            <w:tcW w:w="990" w:type="dxa"/>
          </w:tcPr>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1</w:t>
            </w:r>
          </w:p>
        </w:tc>
        <w:tc>
          <w:tcPr>
            <w:tcW w:w="2937" w:type="dxa"/>
          </w:tcPr>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Chava Perry, etal</w:t>
            </w:r>
          </w:p>
        </w:tc>
        <w:tc>
          <w:tcPr>
            <w:tcW w:w="1381" w:type="dxa"/>
          </w:tcPr>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2012</w:t>
            </w:r>
          </w:p>
        </w:tc>
        <w:tc>
          <w:tcPr>
            <w:tcW w:w="1802" w:type="dxa"/>
          </w:tcPr>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p>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Stage-0</w:t>
            </w:r>
          </w:p>
          <w:p w:rsidR="00613711" w:rsidRPr="00DE4325" w:rsidRDefault="00613711" w:rsidP="00AB7544">
            <w:pPr>
              <w:tabs>
                <w:tab w:val="right" w:pos="8377"/>
              </w:tabs>
              <w:bidi w:val="0"/>
              <w:spacing w:line="360" w:lineRule="auto"/>
              <w:rPr>
                <w:rFonts w:asciiTheme="majorBidi" w:hAnsiTheme="majorBidi" w:cstheme="majorBidi"/>
                <w:b/>
                <w:bCs/>
                <w:color w:val="131413"/>
                <w:sz w:val="14"/>
                <w:szCs w:val="14"/>
              </w:rPr>
            </w:pPr>
          </w:p>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Stage 1-2</w:t>
            </w:r>
          </w:p>
          <w:p w:rsidR="00613711" w:rsidRPr="00DE4325" w:rsidRDefault="00613711" w:rsidP="00AB7544">
            <w:pPr>
              <w:tabs>
                <w:tab w:val="right" w:pos="8377"/>
              </w:tabs>
              <w:bidi w:val="0"/>
              <w:spacing w:line="360" w:lineRule="auto"/>
              <w:rPr>
                <w:rFonts w:asciiTheme="majorBidi" w:hAnsiTheme="majorBidi" w:cstheme="majorBidi"/>
                <w:b/>
                <w:bCs/>
                <w:color w:val="131413"/>
                <w:sz w:val="14"/>
                <w:szCs w:val="14"/>
              </w:rPr>
            </w:pPr>
          </w:p>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Stage 3-4</w:t>
            </w:r>
          </w:p>
        </w:tc>
        <w:tc>
          <w:tcPr>
            <w:tcW w:w="1800" w:type="dxa"/>
          </w:tcPr>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p>
          <w:p w:rsidR="00613711" w:rsidRPr="00DE4325" w:rsidRDefault="00613711" w:rsidP="00006130">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54.2</w:t>
            </w:r>
          </w:p>
          <w:p w:rsidR="00613711" w:rsidRPr="00DE4325" w:rsidRDefault="00613711" w:rsidP="00AB7544">
            <w:pPr>
              <w:tabs>
                <w:tab w:val="right" w:pos="8377"/>
              </w:tabs>
              <w:bidi w:val="0"/>
              <w:spacing w:line="360" w:lineRule="auto"/>
              <w:rPr>
                <w:rFonts w:asciiTheme="majorBidi" w:hAnsiTheme="majorBidi" w:cstheme="majorBidi"/>
                <w:b/>
                <w:bCs/>
                <w:color w:val="131413"/>
                <w:sz w:val="14"/>
                <w:szCs w:val="14"/>
              </w:rPr>
            </w:pPr>
          </w:p>
          <w:p w:rsidR="00613711" w:rsidRPr="00DE4325" w:rsidRDefault="00613711" w:rsidP="00006130">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60.53</w:t>
            </w:r>
          </w:p>
          <w:p w:rsidR="00613711" w:rsidRPr="00DE4325" w:rsidRDefault="00613711" w:rsidP="00AB7544">
            <w:pPr>
              <w:tabs>
                <w:tab w:val="right" w:pos="8377"/>
              </w:tabs>
              <w:bidi w:val="0"/>
              <w:spacing w:line="360" w:lineRule="auto"/>
              <w:rPr>
                <w:rFonts w:asciiTheme="majorBidi" w:hAnsiTheme="majorBidi" w:cstheme="majorBidi"/>
                <w:b/>
                <w:bCs/>
                <w:color w:val="131413"/>
                <w:sz w:val="14"/>
                <w:szCs w:val="14"/>
              </w:rPr>
            </w:pPr>
          </w:p>
          <w:p w:rsidR="00613711" w:rsidRPr="00DE4325" w:rsidRDefault="00613711" w:rsidP="00006130">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72.31</w:t>
            </w:r>
          </w:p>
        </w:tc>
      </w:tr>
      <w:tr w:rsidR="00613711" w:rsidRPr="00F56E44" w:rsidTr="00DE4325">
        <w:trPr>
          <w:trHeight w:val="844"/>
        </w:trPr>
        <w:tc>
          <w:tcPr>
            <w:tcW w:w="990" w:type="dxa"/>
          </w:tcPr>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2</w:t>
            </w:r>
          </w:p>
        </w:tc>
        <w:tc>
          <w:tcPr>
            <w:tcW w:w="2937" w:type="dxa"/>
          </w:tcPr>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Nashwa Khairat Abousamra, etal</w:t>
            </w:r>
          </w:p>
        </w:tc>
        <w:tc>
          <w:tcPr>
            <w:tcW w:w="1381" w:type="dxa"/>
          </w:tcPr>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2015</w:t>
            </w:r>
          </w:p>
        </w:tc>
        <w:tc>
          <w:tcPr>
            <w:tcW w:w="1802" w:type="dxa"/>
          </w:tcPr>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p>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Stage 0-2</w:t>
            </w:r>
          </w:p>
          <w:p w:rsidR="00613711" w:rsidRPr="00DE4325" w:rsidRDefault="00613711" w:rsidP="00AB7544">
            <w:pPr>
              <w:tabs>
                <w:tab w:val="right" w:pos="8377"/>
              </w:tabs>
              <w:bidi w:val="0"/>
              <w:spacing w:line="360" w:lineRule="auto"/>
              <w:rPr>
                <w:rFonts w:asciiTheme="majorBidi" w:hAnsiTheme="majorBidi" w:cstheme="majorBidi"/>
                <w:b/>
                <w:bCs/>
                <w:color w:val="131413"/>
                <w:sz w:val="14"/>
                <w:szCs w:val="14"/>
              </w:rPr>
            </w:pPr>
          </w:p>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Stage 3-4</w:t>
            </w:r>
          </w:p>
        </w:tc>
        <w:tc>
          <w:tcPr>
            <w:tcW w:w="1800" w:type="dxa"/>
          </w:tcPr>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p>
          <w:p w:rsidR="00613711" w:rsidRPr="00DE4325" w:rsidRDefault="00613711" w:rsidP="00006130">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18.13</w:t>
            </w:r>
          </w:p>
          <w:p w:rsidR="00613711" w:rsidRPr="00DE4325" w:rsidRDefault="00613711" w:rsidP="00AB7544">
            <w:pPr>
              <w:tabs>
                <w:tab w:val="right" w:pos="8377"/>
              </w:tabs>
              <w:bidi w:val="0"/>
              <w:spacing w:line="360" w:lineRule="auto"/>
              <w:rPr>
                <w:rFonts w:asciiTheme="majorBidi" w:hAnsiTheme="majorBidi" w:cstheme="majorBidi"/>
                <w:b/>
                <w:bCs/>
                <w:color w:val="131413"/>
                <w:sz w:val="14"/>
                <w:szCs w:val="14"/>
              </w:rPr>
            </w:pPr>
          </w:p>
          <w:p w:rsidR="00613711" w:rsidRPr="00DE4325" w:rsidRDefault="00613711" w:rsidP="00006130">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31.18</w:t>
            </w:r>
          </w:p>
        </w:tc>
      </w:tr>
      <w:tr w:rsidR="00613711" w:rsidRPr="00F56E44" w:rsidTr="00DE4325">
        <w:trPr>
          <w:trHeight w:val="1142"/>
        </w:trPr>
        <w:tc>
          <w:tcPr>
            <w:tcW w:w="990" w:type="dxa"/>
          </w:tcPr>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3</w:t>
            </w:r>
          </w:p>
        </w:tc>
        <w:tc>
          <w:tcPr>
            <w:tcW w:w="2937" w:type="dxa"/>
          </w:tcPr>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Dianne Pulte and Richard, etal</w:t>
            </w:r>
          </w:p>
        </w:tc>
        <w:tc>
          <w:tcPr>
            <w:tcW w:w="1381" w:type="dxa"/>
          </w:tcPr>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2011</w:t>
            </w:r>
          </w:p>
        </w:tc>
        <w:tc>
          <w:tcPr>
            <w:tcW w:w="1802" w:type="dxa"/>
          </w:tcPr>
          <w:p w:rsidR="00613711" w:rsidRPr="00DE4325" w:rsidRDefault="00613711" w:rsidP="00AB7544">
            <w:pPr>
              <w:tabs>
                <w:tab w:val="right" w:pos="8377"/>
              </w:tabs>
              <w:bidi w:val="0"/>
              <w:spacing w:line="360" w:lineRule="auto"/>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Stage-0</w:t>
            </w:r>
          </w:p>
          <w:p w:rsidR="00613711" w:rsidRPr="00DE4325" w:rsidRDefault="00613711" w:rsidP="00AB7544">
            <w:pPr>
              <w:tabs>
                <w:tab w:val="right" w:pos="8377"/>
              </w:tabs>
              <w:bidi w:val="0"/>
              <w:spacing w:line="360" w:lineRule="auto"/>
              <w:rPr>
                <w:rFonts w:asciiTheme="majorBidi" w:hAnsiTheme="majorBidi" w:cstheme="majorBidi"/>
                <w:b/>
                <w:bCs/>
                <w:color w:val="131413"/>
                <w:sz w:val="14"/>
                <w:szCs w:val="14"/>
              </w:rPr>
            </w:pPr>
          </w:p>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Stage 1-2</w:t>
            </w:r>
          </w:p>
          <w:p w:rsidR="00613711" w:rsidRPr="00DE4325" w:rsidRDefault="00613711" w:rsidP="00AB7544">
            <w:pPr>
              <w:tabs>
                <w:tab w:val="right" w:pos="8377"/>
              </w:tabs>
              <w:bidi w:val="0"/>
              <w:spacing w:line="360" w:lineRule="auto"/>
              <w:rPr>
                <w:rFonts w:asciiTheme="majorBidi" w:hAnsiTheme="majorBidi" w:cstheme="majorBidi"/>
                <w:b/>
                <w:bCs/>
                <w:color w:val="131413"/>
                <w:sz w:val="14"/>
                <w:szCs w:val="14"/>
              </w:rPr>
            </w:pPr>
          </w:p>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Stage 3-4</w:t>
            </w:r>
          </w:p>
        </w:tc>
        <w:tc>
          <w:tcPr>
            <w:tcW w:w="1800" w:type="dxa"/>
          </w:tcPr>
          <w:p w:rsidR="00613711" w:rsidRPr="00DE4325" w:rsidRDefault="00613711" w:rsidP="00006130">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11.2</w:t>
            </w:r>
          </w:p>
          <w:p w:rsidR="00613711" w:rsidRPr="00DE4325" w:rsidRDefault="00613711" w:rsidP="00AB7544">
            <w:pPr>
              <w:tabs>
                <w:tab w:val="right" w:pos="8377"/>
              </w:tabs>
              <w:bidi w:val="0"/>
              <w:spacing w:line="360" w:lineRule="auto"/>
              <w:rPr>
                <w:rFonts w:asciiTheme="majorBidi" w:hAnsiTheme="majorBidi" w:cstheme="majorBidi"/>
                <w:b/>
                <w:bCs/>
                <w:color w:val="131413"/>
                <w:sz w:val="14"/>
                <w:szCs w:val="14"/>
              </w:rPr>
            </w:pPr>
          </w:p>
          <w:p w:rsidR="00613711" w:rsidRPr="00DE4325" w:rsidRDefault="00613711" w:rsidP="00006130">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21.3</w:t>
            </w:r>
          </w:p>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p>
          <w:p w:rsidR="00613711" w:rsidRPr="00DE4325" w:rsidRDefault="00613711" w:rsidP="00006130">
            <w:pPr>
              <w:tabs>
                <w:tab w:val="right" w:pos="8377"/>
              </w:tabs>
              <w:bidi w:val="0"/>
              <w:spacing w:line="360" w:lineRule="auto"/>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31.1</w:t>
            </w:r>
          </w:p>
        </w:tc>
      </w:tr>
      <w:tr w:rsidR="00613711" w:rsidRPr="00F56E44" w:rsidTr="00DE4325">
        <w:trPr>
          <w:trHeight w:val="776"/>
        </w:trPr>
        <w:tc>
          <w:tcPr>
            <w:tcW w:w="990" w:type="dxa"/>
          </w:tcPr>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4</w:t>
            </w:r>
          </w:p>
        </w:tc>
        <w:tc>
          <w:tcPr>
            <w:tcW w:w="2937" w:type="dxa"/>
          </w:tcPr>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Dianne Pulte and Olson, etal</w:t>
            </w:r>
          </w:p>
        </w:tc>
        <w:tc>
          <w:tcPr>
            <w:tcW w:w="1381" w:type="dxa"/>
          </w:tcPr>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2007</w:t>
            </w:r>
          </w:p>
        </w:tc>
        <w:tc>
          <w:tcPr>
            <w:tcW w:w="1802" w:type="dxa"/>
          </w:tcPr>
          <w:p w:rsidR="00613711" w:rsidRPr="00DE4325" w:rsidRDefault="00613711" w:rsidP="00AB7544">
            <w:pPr>
              <w:tabs>
                <w:tab w:val="right" w:pos="8377"/>
              </w:tabs>
              <w:bidi w:val="0"/>
              <w:spacing w:line="360" w:lineRule="auto"/>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Stage 0-2</w:t>
            </w:r>
          </w:p>
          <w:p w:rsidR="00613711" w:rsidRPr="00DE4325" w:rsidRDefault="00613711" w:rsidP="00AB7544">
            <w:pPr>
              <w:tabs>
                <w:tab w:val="right" w:pos="8377"/>
              </w:tabs>
              <w:bidi w:val="0"/>
              <w:spacing w:line="360" w:lineRule="auto"/>
              <w:rPr>
                <w:rFonts w:asciiTheme="majorBidi" w:hAnsiTheme="majorBidi" w:cstheme="majorBidi"/>
                <w:b/>
                <w:bCs/>
                <w:color w:val="131413"/>
                <w:sz w:val="14"/>
                <w:szCs w:val="14"/>
              </w:rPr>
            </w:pPr>
          </w:p>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Stage 3-4</w:t>
            </w:r>
          </w:p>
        </w:tc>
        <w:tc>
          <w:tcPr>
            <w:tcW w:w="1800" w:type="dxa"/>
          </w:tcPr>
          <w:p w:rsidR="00613711" w:rsidRPr="00DE4325" w:rsidRDefault="00613711" w:rsidP="00006130">
            <w:pPr>
              <w:tabs>
                <w:tab w:val="right" w:pos="8377"/>
              </w:tabs>
              <w:bidi w:val="0"/>
              <w:spacing w:line="360" w:lineRule="auto"/>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88.2</w:t>
            </w:r>
          </w:p>
          <w:p w:rsidR="00613711" w:rsidRPr="00DE4325" w:rsidRDefault="00613711" w:rsidP="00AB7544">
            <w:pPr>
              <w:tabs>
                <w:tab w:val="right" w:pos="8377"/>
              </w:tabs>
              <w:bidi w:val="0"/>
              <w:spacing w:line="360" w:lineRule="auto"/>
              <w:rPr>
                <w:rFonts w:asciiTheme="majorBidi" w:hAnsiTheme="majorBidi" w:cstheme="majorBidi"/>
                <w:b/>
                <w:bCs/>
                <w:color w:val="131413"/>
                <w:sz w:val="14"/>
                <w:szCs w:val="14"/>
              </w:rPr>
            </w:pPr>
          </w:p>
          <w:p w:rsidR="00613711" w:rsidRPr="00DE4325" w:rsidRDefault="00613711" w:rsidP="00006130">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44.7</w:t>
            </w:r>
          </w:p>
        </w:tc>
      </w:tr>
    </w:tbl>
    <w:p w:rsidR="007A2121" w:rsidRDefault="007A2121" w:rsidP="00613711">
      <w:pPr>
        <w:bidi w:val="0"/>
        <w:rPr>
          <w:rFonts w:asciiTheme="majorBidi" w:hAnsiTheme="majorBidi" w:cstheme="majorBidi"/>
          <w:color w:val="000000"/>
          <w:sz w:val="28"/>
          <w:szCs w:val="28"/>
          <w:rtl/>
        </w:rPr>
      </w:pPr>
      <w:r w:rsidRPr="00380A7F">
        <w:rPr>
          <w:rFonts w:asciiTheme="majorBidi" w:hAnsiTheme="majorBidi" w:cstheme="majorBidi"/>
          <w:color w:val="000000"/>
          <w:sz w:val="28"/>
          <w:szCs w:val="28"/>
        </w:rPr>
        <w:br w:type="page"/>
      </w:r>
    </w:p>
    <w:p w:rsidR="00613711" w:rsidRPr="00613711" w:rsidRDefault="00613711" w:rsidP="00EB1BB6">
      <w:pPr>
        <w:tabs>
          <w:tab w:val="right" w:pos="8377"/>
        </w:tabs>
        <w:autoSpaceDE w:val="0"/>
        <w:autoSpaceDN w:val="0"/>
        <w:bidi w:val="0"/>
        <w:adjustRightInd w:val="0"/>
        <w:spacing w:before="240" w:after="0" w:line="360" w:lineRule="auto"/>
        <w:ind w:firstLine="7"/>
        <w:jc w:val="center"/>
        <w:rPr>
          <w:rFonts w:asciiTheme="majorBidi" w:eastAsia="Calibri" w:hAnsiTheme="majorBidi" w:cstheme="majorBidi"/>
          <w:b/>
          <w:bCs/>
          <w:sz w:val="20"/>
          <w:szCs w:val="20"/>
        </w:rPr>
      </w:pPr>
      <w:r>
        <w:rPr>
          <w:rFonts w:asciiTheme="majorBidi" w:eastAsia="Calibri" w:hAnsiTheme="majorBidi" w:cstheme="majorBidi"/>
          <w:b/>
          <w:bCs/>
          <w:sz w:val="20"/>
          <w:szCs w:val="20"/>
        </w:rPr>
        <w:lastRenderedPageBreak/>
        <w:t>Table</w:t>
      </w:r>
      <w:r w:rsidR="001A0013">
        <w:rPr>
          <w:rFonts w:asciiTheme="majorBidi" w:eastAsia="Calibri" w:hAnsiTheme="majorBidi" w:cstheme="majorBidi"/>
          <w:b/>
          <w:bCs/>
          <w:sz w:val="20"/>
          <w:szCs w:val="20"/>
        </w:rPr>
        <w:t>-4</w:t>
      </w:r>
      <w:r>
        <w:rPr>
          <w:rFonts w:asciiTheme="majorBidi" w:eastAsia="Calibri" w:hAnsiTheme="majorBidi" w:cstheme="majorBidi"/>
          <w:b/>
          <w:bCs/>
          <w:sz w:val="20"/>
          <w:szCs w:val="20"/>
        </w:rPr>
        <w:t xml:space="preserve"> </w:t>
      </w:r>
      <w:r w:rsidRPr="00613711">
        <w:rPr>
          <w:rFonts w:asciiTheme="majorBidi" w:eastAsia="Calibri" w:hAnsiTheme="majorBidi" w:cstheme="majorBidi"/>
          <w:b/>
          <w:bCs/>
          <w:sz w:val="20"/>
          <w:szCs w:val="20"/>
        </w:rPr>
        <w:t>; Important comments and conclusions of different studies</w:t>
      </w:r>
    </w:p>
    <w:p w:rsidR="00613711" w:rsidRPr="00613711" w:rsidRDefault="00613711" w:rsidP="00613711">
      <w:pPr>
        <w:tabs>
          <w:tab w:val="right" w:pos="8377"/>
        </w:tabs>
        <w:bidi w:val="0"/>
        <w:spacing w:line="360" w:lineRule="auto"/>
        <w:ind w:right="142" w:firstLine="7"/>
        <w:rPr>
          <w:rFonts w:asciiTheme="majorBidi" w:hAnsiTheme="majorBidi" w:cstheme="majorBidi"/>
          <w:sz w:val="20"/>
          <w:szCs w:val="20"/>
        </w:rPr>
      </w:pPr>
    </w:p>
    <w:tbl>
      <w:tblPr>
        <w:tblStyle w:val="TableGrid"/>
        <w:tblW w:w="9360" w:type="dxa"/>
        <w:tblInd w:w="108" w:type="dxa"/>
        <w:tblLayout w:type="fixed"/>
        <w:tblLook w:val="04A0"/>
      </w:tblPr>
      <w:tblGrid>
        <w:gridCol w:w="990"/>
        <w:gridCol w:w="1800"/>
        <w:gridCol w:w="900"/>
        <w:gridCol w:w="1260"/>
        <w:gridCol w:w="4410"/>
      </w:tblGrid>
      <w:tr w:rsidR="00613711" w:rsidRPr="00613711" w:rsidTr="00613711">
        <w:trPr>
          <w:trHeight w:val="611"/>
        </w:trPr>
        <w:tc>
          <w:tcPr>
            <w:tcW w:w="990" w:type="dxa"/>
          </w:tcPr>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Serial</w:t>
            </w:r>
          </w:p>
        </w:tc>
        <w:tc>
          <w:tcPr>
            <w:tcW w:w="1800" w:type="dxa"/>
          </w:tcPr>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Author</w:t>
            </w:r>
          </w:p>
        </w:tc>
        <w:tc>
          <w:tcPr>
            <w:tcW w:w="900" w:type="dxa"/>
          </w:tcPr>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Year</w:t>
            </w:r>
          </w:p>
        </w:tc>
        <w:tc>
          <w:tcPr>
            <w:tcW w:w="1260" w:type="dxa"/>
          </w:tcPr>
          <w:p w:rsidR="00613711" w:rsidRPr="00DE4325" w:rsidRDefault="00613711" w:rsidP="00AB7544">
            <w:pPr>
              <w:tabs>
                <w:tab w:val="right" w:pos="8377"/>
              </w:tabs>
              <w:bidi w:val="0"/>
              <w:spacing w:line="360" w:lineRule="auto"/>
              <w:ind w:firstLine="7"/>
              <w:jc w:val="center"/>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Number of cases</w:t>
            </w:r>
          </w:p>
        </w:tc>
        <w:tc>
          <w:tcPr>
            <w:tcW w:w="4410" w:type="dxa"/>
          </w:tcPr>
          <w:p w:rsidR="00613711" w:rsidRPr="00DE4325" w:rsidRDefault="001A0013" w:rsidP="00AB7544">
            <w:pPr>
              <w:tabs>
                <w:tab w:val="right" w:pos="8377"/>
              </w:tabs>
              <w:bidi w:val="0"/>
              <w:spacing w:line="360" w:lineRule="auto"/>
              <w:ind w:right="-157" w:firstLine="7"/>
              <w:jc w:val="center"/>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C</w:t>
            </w:r>
            <w:r w:rsidR="00613711" w:rsidRPr="00DE4325">
              <w:rPr>
                <w:rFonts w:asciiTheme="majorBidi" w:hAnsiTheme="majorBidi" w:cstheme="majorBidi"/>
                <w:b/>
                <w:bCs/>
                <w:color w:val="131413"/>
                <w:sz w:val="14"/>
                <w:szCs w:val="14"/>
              </w:rPr>
              <w:t>onclusion</w:t>
            </w:r>
          </w:p>
        </w:tc>
      </w:tr>
      <w:tr w:rsidR="00613711" w:rsidRPr="00613711" w:rsidTr="00AB7544">
        <w:trPr>
          <w:trHeight w:val="2330"/>
        </w:trPr>
        <w:tc>
          <w:tcPr>
            <w:tcW w:w="990" w:type="dxa"/>
          </w:tcPr>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1</w:t>
            </w:r>
          </w:p>
        </w:tc>
        <w:tc>
          <w:tcPr>
            <w:tcW w:w="1800" w:type="dxa"/>
          </w:tcPr>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 xml:space="preserve">Chava Perry, </w:t>
            </w:r>
          </w:p>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et al</w:t>
            </w:r>
          </w:p>
        </w:tc>
        <w:tc>
          <w:tcPr>
            <w:tcW w:w="900" w:type="dxa"/>
          </w:tcPr>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2012</w:t>
            </w:r>
          </w:p>
        </w:tc>
        <w:tc>
          <w:tcPr>
            <w:tcW w:w="1260" w:type="dxa"/>
          </w:tcPr>
          <w:p w:rsidR="00613711" w:rsidRPr="00DE4325" w:rsidRDefault="00613711" w:rsidP="00AB7544">
            <w:pPr>
              <w:tabs>
                <w:tab w:val="right" w:pos="8377"/>
              </w:tabs>
              <w:bidi w:val="0"/>
              <w:spacing w:line="360" w:lineRule="auto"/>
              <w:ind w:firstLine="7"/>
              <w:jc w:val="center"/>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62</w:t>
            </w:r>
          </w:p>
        </w:tc>
        <w:tc>
          <w:tcPr>
            <w:tcW w:w="4410" w:type="dxa"/>
          </w:tcPr>
          <w:p w:rsidR="00613711" w:rsidRPr="00DE4325" w:rsidRDefault="00613711" w:rsidP="00AB7544">
            <w:pPr>
              <w:tabs>
                <w:tab w:val="right" w:pos="8377"/>
              </w:tabs>
              <w:autoSpaceDE w:val="0"/>
              <w:autoSpaceDN w:val="0"/>
              <w:bidi w:val="0"/>
              <w:adjustRightInd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The expression of CD39 on the CD4+</w:t>
            </w:r>
          </w:p>
          <w:p w:rsidR="00613711" w:rsidRPr="00DE4325" w:rsidRDefault="00613711" w:rsidP="00AB7544">
            <w:pPr>
              <w:tabs>
                <w:tab w:val="right" w:pos="8377"/>
              </w:tabs>
              <w:autoSpaceDE w:val="0"/>
              <w:autoSpaceDN w:val="0"/>
              <w:bidi w:val="0"/>
              <w:adjustRightInd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lymphocyte pool in patients with CLL and found an association between increased levels of the CD4+CD39+ lymphocyte population and progressive disease. Patients with CLL had higher levels of CD4+CD39+lymphocytes than healthy controls, which correlated with the clinical stage of disease. The highest levels were present in patients with more advanced stages and in those who eventually needed therapy for their disease. Expansion of the CD4+CD39+ cell population was found to correlate with classical clinical prognostic factors such as Rai and Binet stage</w:t>
            </w:r>
          </w:p>
        </w:tc>
      </w:tr>
      <w:tr w:rsidR="00613711" w:rsidRPr="00613711" w:rsidTr="00DE4325">
        <w:trPr>
          <w:trHeight w:val="1024"/>
        </w:trPr>
        <w:tc>
          <w:tcPr>
            <w:tcW w:w="990" w:type="dxa"/>
          </w:tcPr>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2</w:t>
            </w:r>
          </w:p>
        </w:tc>
        <w:tc>
          <w:tcPr>
            <w:tcW w:w="1800" w:type="dxa"/>
          </w:tcPr>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Nashwa Khairat Abousamra, et al</w:t>
            </w:r>
          </w:p>
        </w:tc>
        <w:tc>
          <w:tcPr>
            <w:tcW w:w="900" w:type="dxa"/>
          </w:tcPr>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2015</w:t>
            </w:r>
          </w:p>
        </w:tc>
        <w:tc>
          <w:tcPr>
            <w:tcW w:w="1260" w:type="dxa"/>
          </w:tcPr>
          <w:p w:rsidR="00613711" w:rsidRPr="00DE4325" w:rsidRDefault="00613711" w:rsidP="00AB7544">
            <w:pPr>
              <w:tabs>
                <w:tab w:val="right" w:pos="8377"/>
              </w:tabs>
              <w:bidi w:val="0"/>
              <w:spacing w:line="360" w:lineRule="auto"/>
              <w:ind w:firstLine="7"/>
              <w:jc w:val="center"/>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68</w:t>
            </w:r>
          </w:p>
        </w:tc>
        <w:tc>
          <w:tcPr>
            <w:tcW w:w="4410" w:type="dxa"/>
          </w:tcPr>
          <w:p w:rsidR="00613711" w:rsidRPr="00DE4325" w:rsidRDefault="00613711" w:rsidP="00AB7544">
            <w:pPr>
              <w:tabs>
                <w:tab w:val="right" w:pos="8377"/>
              </w:tabs>
              <w:autoSpaceDE w:val="0"/>
              <w:autoSpaceDN w:val="0"/>
              <w:bidi w:val="0"/>
              <w:adjustRightInd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 xml:space="preserve"> T-cell CD39 expression was significantly increased in patient's peripheral blood compared to healthy controls. The higher levels were associated with advanced stages of disease and negatively interacted with time to first treatment</w:t>
            </w:r>
          </w:p>
        </w:tc>
      </w:tr>
      <w:tr w:rsidR="00613711" w:rsidRPr="00613711" w:rsidTr="00DE4325">
        <w:trPr>
          <w:trHeight w:val="557"/>
        </w:trPr>
        <w:tc>
          <w:tcPr>
            <w:tcW w:w="990" w:type="dxa"/>
          </w:tcPr>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3</w:t>
            </w:r>
          </w:p>
        </w:tc>
        <w:tc>
          <w:tcPr>
            <w:tcW w:w="1800" w:type="dxa"/>
          </w:tcPr>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Dianne Pulte and Richard, et al</w:t>
            </w:r>
          </w:p>
        </w:tc>
        <w:tc>
          <w:tcPr>
            <w:tcW w:w="900" w:type="dxa"/>
          </w:tcPr>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2011</w:t>
            </w:r>
          </w:p>
        </w:tc>
        <w:tc>
          <w:tcPr>
            <w:tcW w:w="1260" w:type="dxa"/>
          </w:tcPr>
          <w:p w:rsidR="00613711" w:rsidRPr="00DE4325" w:rsidRDefault="00613711" w:rsidP="00AB7544">
            <w:pPr>
              <w:tabs>
                <w:tab w:val="right" w:pos="8377"/>
              </w:tabs>
              <w:bidi w:val="0"/>
              <w:spacing w:line="360" w:lineRule="auto"/>
              <w:ind w:firstLine="7"/>
              <w:jc w:val="center"/>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65</w:t>
            </w:r>
          </w:p>
        </w:tc>
        <w:tc>
          <w:tcPr>
            <w:tcW w:w="4410" w:type="dxa"/>
          </w:tcPr>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T-lymphocytes CD39 expression is higher in pt with CLL and associated with later stage disease</w:t>
            </w:r>
          </w:p>
        </w:tc>
      </w:tr>
      <w:tr w:rsidR="00613711" w:rsidRPr="00613711" w:rsidTr="00DE4325">
        <w:trPr>
          <w:trHeight w:val="551"/>
        </w:trPr>
        <w:tc>
          <w:tcPr>
            <w:tcW w:w="990" w:type="dxa"/>
          </w:tcPr>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4</w:t>
            </w:r>
          </w:p>
        </w:tc>
        <w:tc>
          <w:tcPr>
            <w:tcW w:w="1800" w:type="dxa"/>
          </w:tcPr>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 xml:space="preserve">Dianne Pulte and Olson, </w:t>
            </w:r>
          </w:p>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et al</w:t>
            </w:r>
          </w:p>
        </w:tc>
        <w:tc>
          <w:tcPr>
            <w:tcW w:w="900" w:type="dxa"/>
          </w:tcPr>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2007</w:t>
            </w:r>
          </w:p>
        </w:tc>
        <w:tc>
          <w:tcPr>
            <w:tcW w:w="1260" w:type="dxa"/>
          </w:tcPr>
          <w:p w:rsidR="00613711" w:rsidRPr="00DE4325" w:rsidRDefault="00613711" w:rsidP="00AB7544">
            <w:pPr>
              <w:tabs>
                <w:tab w:val="right" w:pos="8377"/>
              </w:tabs>
              <w:bidi w:val="0"/>
              <w:spacing w:line="360" w:lineRule="auto"/>
              <w:ind w:firstLine="7"/>
              <w:jc w:val="center"/>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21</w:t>
            </w:r>
          </w:p>
        </w:tc>
        <w:tc>
          <w:tcPr>
            <w:tcW w:w="4410" w:type="dxa"/>
          </w:tcPr>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Majority of lymphocytes from CLL patients express active CD39 and amuch higher levels than normal lymphocytes</w:t>
            </w:r>
          </w:p>
        </w:tc>
      </w:tr>
      <w:tr w:rsidR="00613711" w:rsidRPr="00613711" w:rsidTr="00DE4325">
        <w:trPr>
          <w:trHeight w:val="793"/>
        </w:trPr>
        <w:tc>
          <w:tcPr>
            <w:tcW w:w="990" w:type="dxa"/>
          </w:tcPr>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5</w:t>
            </w:r>
          </w:p>
        </w:tc>
        <w:tc>
          <w:tcPr>
            <w:tcW w:w="1800" w:type="dxa"/>
          </w:tcPr>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 xml:space="preserve">Jeremy Bastid, </w:t>
            </w:r>
          </w:p>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et al</w:t>
            </w:r>
          </w:p>
        </w:tc>
        <w:tc>
          <w:tcPr>
            <w:tcW w:w="900" w:type="dxa"/>
          </w:tcPr>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2014</w:t>
            </w:r>
          </w:p>
        </w:tc>
        <w:tc>
          <w:tcPr>
            <w:tcW w:w="1260" w:type="dxa"/>
          </w:tcPr>
          <w:p w:rsidR="00613711" w:rsidRPr="00DE4325" w:rsidRDefault="00613711" w:rsidP="00AB7544">
            <w:pPr>
              <w:tabs>
                <w:tab w:val="right" w:pos="8377"/>
              </w:tabs>
              <w:bidi w:val="0"/>
              <w:spacing w:line="360" w:lineRule="auto"/>
              <w:ind w:firstLine="7"/>
              <w:jc w:val="center"/>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500</w:t>
            </w:r>
          </w:p>
        </w:tc>
        <w:tc>
          <w:tcPr>
            <w:tcW w:w="4410" w:type="dxa"/>
          </w:tcPr>
          <w:p w:rsidR="00613711" w:rsidRPr="00DE4325" w:rsidRDefault="00613711" w:rsidP="00AB7544">
            <w:pPr>
              <w:tabs>
                <w:tab w:val="right" w:pos="8377"/>
              </w:tabs>
              <w:bidi w:val="0"/>
              <w:spacing w:line="360" w:lineRule="auto"/>
              <w:ind w:firstLine="7"/>
              <w:rPr>
                <w:rFonts w:asciiTheme="majorBidi" w:hAnsiTheme="majorBidi" w:cstheme="majorBidi"/>
                <w:b/>
                <w:bCs/>
                <w:color w:val="131413"/>
                <w:sz w:val="14"/>
                <w:szCs w:val="14"/>
              </w:rPr>
            </w:pPr>
            <w:r w:rsidRPr="00DE4325">
              <w:rPr>
                <w:rFonts w:asciiTheme="majorBidi" w:hAnsiTheme="majorBidi" w:cstheme="majorBidi"/>
                <w:b/>
                <w:bCs/>
                <w:color w:val="131413"/>
                <w:sz w:val="14"/>
                <w:szCs w:val="14"/>
              </w:rPr>
              <w:t>The vascular endothelial  always stained positive for CD39 in both normal and tumor cells,interestingly,CD39 expression was higher in tumor tissue more in normal specimens</w:t>
            </w:r>
          </w:p>
        </w:tc>
      </w:tr>
    </w:tbl>
    <w:p w:rsidR="00DE4325" w:rsidRDefault="00DE4325" w:rsidP="001A0013">
      <w:pPr>
        <w:bidi w:val="0"/>
        <w:spacing w:line="240" w:lineRule="auto"/>
        <w:jc w:val="both"/>
        <w:rPr>
          <w:rFonts w:ascii="Times New Roman" w:hAnsi="Times New Roman" w:cs="Times New Roman"/>
          <w:b/>
          <w:bCs/>
          <w:sz w:val="28"/>
          <w:szCs w:val="28"/>
        </w:rPr>
        <w:sectPr w:rsidR="00DE4325" w:rsidSect="007B4C14">
          <w:type w:val="continuous"/>
          <w:pgSz w:w="12240" w:h="15840"/>
          <w:pgMar w:top="1440" w:right="1890" w:bottom="1440" w:left="1440" w:header="720" w:footer="720" w:gutter="0"/>
          <w:cols w:space="720"/>
          <w:docGrid w:linePitch="360"/>
        </w:sectPr>
      </w:pPr>
    </w:p>
    <w:p w:rsidR="00613711" w:rsidRPr="00DE4325" w:rsidRDefault="00613711" w:rsidP="001A0013">
      <w:pPr>
        <w:bidi w:val="0"/>
        <w:spacing w:line="240" w:lineRule="auto"/>
        <w:jc w:val="both"/>
        <w:rPr>
          <w:rFonts w:ascii="Times New Roman" w:hAnsi="Times New Roman" w:cs="Times New Roman"/>
          <w:b/>
          <w:bCs/>
          <w:sz w:val="28"/>
          <w:szCs w:val="28"/>
        </w:rPr>
      </w:pPr>
      <w:r w:rsidRPr="00DE4325">
        <w:rPr>
          <w:rFonts w:ascii="Times New Roman" w:hAnsi="Times New Roman" w:cs="Times New Roman"/>
          <w:b/>
          <w:bCs/>
          <w:sz w:val="28"/>
          <w:szCs w:val="28"/>
        </w:rPr>
        <w:lastRenderedPageBreak/>
        <w:t>Discussion</w:t>
      </w:r>
    </w:p>
    <w:p w:rsidR="00DE4325" w:rsidRDefault="00C74EEA" w:rsidP="001A0013">
      <w:pPr>
        <w:tabs>
          <w:tab w:val="right" w:pos="8377"/>
        </w:tabs>
        <w:autoSpaceDE w:val="0"/>
        <w:autoSpaceDN w:val="0"/>
        <w:bidi w:val="0"/>
        <w:adjustRightInd w:val="0"/>
        <w:spacing w:after="0" w:line="360" w:lineRule="auto"/>
        <w:ind w:right="-42" w:firstLine="7"/>
        <w:jc w:val="both"/>
        <w:rPr>
          <w:rFonts w:asciiTheme="majorBidi" w:hAnsiTheme="majorBidi" w:cstheme="majorBidi"/>
        </w:rPr>
        <w:sectPr w:rsidR="00DE4325" w:rsidSect="00DE4325">
          <w:type w:val="continuous"/>
          <w:pgSz w:w="12240" w:h="15840"/>
          <w:pgMar w:top="1440" w:right="1890" w:bottom="1440" w:left="1440" w:header="720" w:footer="720" w:gutter="0"/>
          <w:cols w:num="2" w:space="709"/>
          <w:docGrid w:linePitch="360"/>
        </w:sectPr>
      </w:pPr>
      <w:r w:rsidRPr="00DE4325">
        <w:rPr>
          <w:rFonts w:asciiTheme="majorBidi" w:hAnsiTheme="majorBidi" w:cstheme="majorBidi"/>
          <w:color w:val="131413"/>
        </w:rPr>
        <w:t xml:space="preserve">Chronic lymphocytic leukemia (CLL) is one of the most commonly diagnosed lymphoid malignancies in the western countries, and although it generally has an indolent clinical course, at least 50% of patients are still at risk for disease Progression </w:t>
      </w:r>
      <w:r w:rsidR="001A0013" w:rsidRPr="00DE4325">
        <w:rPr>
          <w:rFonts w:asciiTheme="majorBidi" w:hAnsiTheme="majorBidi" w:cstheme="majorBidi"/>
          <w:b/>
          <w:bCs/>
          <w:color w:val="131413"/>
        </w:rPr>
        <w:t>(8</w:t>
      </w:r>
      <w:r w:rsidRPr="00DE4325">
        <w:rPr>
          <w:rFonts w:asciiTheme="majorBidi" w:hAnsiTheme="majorBidi" w:cstheme="majorBidi"/>
          <w:b/>
          <w:bCs/>
          <w:color w:val="131413"/>
        </w:rPr>
        <w:t>)</w:t>
      </w:r>
      <w:r w:rsidRPr="00DE4325">
        <w:rPr>
          <w:rFonts w:asciiTheme="majorBidi" w:hAnsiTheme="majorBidi" w:cstheme="majorBidi"/>
        </w:rPr>
        <w:t>.</w:t>
      </w:r>
      <w:r w:rsidR="002D26E9" w:rsidRPr="00DE4325">
        <w:rPr>
          <w:rFonts w:asciiTheme="majorBidi" w:hAnsiTheme="majorBidi" w:cstheme="majorBidi"/>
        </w:rPr>
        <w:t xml:space="preserve"> B cell-type chronic lymphocytic leukemia (B-CLL) cells can be divided into two broad subtypes based on morphology—typical and atypical, typical morphology is defined as small mature-appearing lymphocytes with a large nuclear to cytoplasmic ratio ,condensed chromatin with rare nucleoli ,and few accompanying atypical </w:t>
      </w:r>
      <w:r w:rsidR="002D26E9" w:rsidRPr="00DE4325">
        <w:rPr>
          <w:rFonts w:asciiTheme="majorBidi" w:hAnsiTheme="majorBidi" w:cstheme="majorBidi"/>
        </w:rPr>
        <w:lastRenderedPageBreak/>
        <w:t>cells (≤10%), cases with atypical morphology have greater than 10% atypical cells, defined in various way, e.g., prolymphocytes “cleaved,” or “large” lymphocytes ,lymphoplasm</w:t>
      </w:r>
      <w:r w:rsidR="001A0013" w:rsidRPr="00DE4325">
        <w:rPr>
          <w:rFonts w:asciiTheme="majorBidi" w:hAnsiTheme="majorBidi" w:cstheme="majorBidi"/>
        </w:rPr>
        <w:t>acytoid cells,</w:t>
      </w:r>
      <w:r w:rsidR="002D26E9" w:rsidRPr="00DE4325">
        <w:rPr>
          <w:rFonts w:asciiTheme="majorBidi" w:hAnsiTheme="majorBidi" w:cstheme="majorBidi"/>
        </w:rPr>
        <w:t xml:space="preserve"> </w:t>
      </w:r>
      <w:r w:rsidR="001A0013" w:rsidRPr="00DE4325">
        <w:rPr>
          <w:rFonts w:asciiTheme="majorBidi" w:hAnsiTheme="majorBidi" w:cstheme="majorBidi"/>
          <w:b/>
          <w:bCs/>
        </w:rPr>
        <w:t>(9</w:t>
      </w:r>
      <w:r w:rsidR="002D26E9" w:rsidRPr="00DE4325">
        <w:rPr>
          <w:rFonts w:asciiTheme="majorBidi" w:hAnsiTheme="majorBidi" w:cstheme="majorBidi"/>
          <w:b/>
          <w:bCs/>
        </w:rPr>
        <w:t>).</w:t>
      </w:r>
      <w:r w:rsidR="002D26E9" w:rsidRPr="00DE4325">
        <w:rPr>
          <w:rFonts w:asciiTheme="majorBidi" w:hAnsiTheme="majorBidi" w:cstheme="majorBidi"/>
        </w:rPr>
        <w:t xml:space="preserve"> </w:t>
      </w:r>
      <w:r w:rsidR="000D7476" w:rsidRPr="00DE4325">
        <w:rPr>
          <w:rFonts w:asciiTheme="majorBidi" w:hAnsiTheme="majorBidi" w:cstheme="majorBidi"/>
          <w:color w:val="131413"/>
        </w:rPr>
        <w:t>Expansion of the CD4+CD39+ cell population was found to correlate with classical clinical prognostic factors such as Rai and Binet stage as well as with the expression of other surrogate markers including ZAP70 positivity and increased levels of β2-microglobulin and LDH</w:t>
      </w:r>
      <w:r w:rsidR="001A0013" w:rsidRPr="00DE4325">
        <w:rPr>
          <w:rFonts w:asciiTheme="majorBidi" w:hAnsiTheme="majorBidi" w:cstheme="majorBidi"/>
          <w:b/>
          <w:bCs/>
          <w:color w:val="131413"/>
        </w:rPr>
        <w:t>(10</w:t>
      </w:r>
      <w:r w:rsidR="000D7476" w:rsidRPr="00DE4325">
        <w:rPr>
          <w:rFonts w:asciiTheme="majorBidi" w:hAnsiTheme="majorBidi" w:cstheme="majorBidi"/>
          <w:b/>
          <w:bCs/>
          <w:color w:val="131413"/>
        </w:rPr>
        <w:t>).</w:t>
      </w:r>
      <w:r w:rsidR="000D7476" w:rsidRPr="00DE4325">
        <w:rPr>
          <w:rFonts w:asciiTheme="majorBidi" w:hAnsiTheme="majorBidi" w:cstheme="majorBidi"/>
          <w:color w:val="131413"/>
        </w:rPr>
        <w:t xml:space="preserve"> </w:t>
      </w:r>
      <w:r w:rsidR="00EB1BB6" w:rsidRPr="00DE4325">
        <w:rPr>
          <w:rFonts w:asciiTheme="majorBidi" w:hAnsiTheme="majorBidi" w:cstheme="majorBidi"/>
        </w:rPr>
        <w:t xml:space="preserve">T-lymphocyte CD39 expression was lower in patients with stage 0 disease compared with patients with either stage 1-2 or stage 3-4 </w:t>
      </w:r>
    </w:p>
    <w:p w:rsidR="000D7476" w:rsidRPr="00DE4325" w:rsidRDefault="00EB1BB6" w:rsidP="001A0013">
      <w:pPr>
        <w:tabs>
          <w:tab w:val="right" w:pos="8377"/>
        </w:tabs>
        <w:autoSpaceDE w:val="0"/>
        <w:autoSpaceDN w:val="0"/>
        <w:bidi w:val="0"/>
        <w:adjustRightInd w:val="0"/>
        <w:spacing w:after="0" w:line="360" w:lineRule="auto"/>
        <w:ind w:right="-42" w:firstLine="7"/>
        <w:jc w:val="both"/>
        <w:rPr>
          <w:rFonts w:asciiTheme="majorBidi" w:hAnsiTheme="majorBidi" w:cstheme="majorBidi"/>
          <w:color w:val="131413"/>
        </w:rPr>
      </w:pPr>
      <w:r w:rsidRPr="00DE4325">
        <w:rPr>
          <w:rFonts w:asciiTheme="majorBidi" w:hAnsiTheme="majorBidi" w:cstheme="majorBidi"/>
        </w:rPr>
        <w:lastRenderedPageBreak/>
        <w:t xml:space="preserve">disease and in patients who did not require chemotherapy </w:t>
      </w:r>
      <w:r w:rsidR="001A0013" w:rsidRPr="00DE4325">
        <w:rPr>
          <w:rFonts w:asciiTheme="majorBidi" w:hAnsiTheme="majorBidi" w:cstheme="majorBidi"/>
          <w:b/>
          <w:bCs/>
        </w:rPr>
        <w:t>(</w:t>
      </w:r>
      <w:r w:rsidRPr="00DE4325">
        <w:rPr>
          <w:rFonts w:asciiTheme="majorBidi" w:hAnsiTheme="majorBidi" w:cstheme="majorBidi"/>
          <w:b/>
          <w:bCs/>
        </w:rPr>
        <w:t>11)</w:t>
      </w:r>
      <w:r w:rsidRPr="00DE4325">
        <w:rPr>
          <w:rFonts w:asciiTheme="majorBidi" w:hAnsiTheme="majorBidi" w:cstheme="majorBidi"/>
        </w:rPr>
        <w:t>.</w:t>
      </w:r>
      <w:r w:rsidRPr="00DE4325">
        <w:rPr>
          <w:rFonts w:asciiTheme="majorBidi" w:hAnsiTheme="majorBidi" w:cstheme="majorBidi"/>
          <w:color w:val="131413"/>
        </w:rPr>
        <w:t xml:space="preserve">  </w:t>
      </w:r>
      <w:r w:rsidR="000D7476" w:rsidRPr="00DE4325">
        <w:rPr>
          <w:rFonts w:asciiTheme="majorBidi" w:hAnsiTheme="majorBidi" w:cstheme="majorBidi"/>
          <w:color w:val="131413"/>
        </w:rPr>
        <w:t xml:space="preserve">Unlike CD39−Tregs, CD39+Tregs are resistant to ATP-induced cell death and able to invade the tumor environment , survive, and subsequently suppress antitumor immunity, as increased levels of Tregs have been previously reported to correlate with progressive disease in patients with CLL </w:t>
      </w:r>
      <w:r w:rsidR="001A0013" w:rsidRPr="00DE4325">
        <w:rPr>
          <w:rFonts w:asciiTheme="majorBidi" w:hAnsiTheme="majorBidi" w:cstheme="majorBidi"/>
          <w:b/>
          <w:bCs/>
          <w:color w:val="131413"/>
        </w:rPr>
        <w:t>(</w:t>
      </w:r>
      <w:r w:rsidR="000D7476" w:rsidRPr="00DE4325">
        <w:rPr>
          <w:rFonts w:asciiTheme="majorBidi" w:hAnsiTheme="majorBidi" w:cstheme="majorBidi"/>
          <w:b/>
          <w:bCs/>
          <w:color w:val="131413"/>
        </w:rPr>
        <w:t>1</w:t>
      </w:r>
      <w:r w:rsidR="001A0013" w:rsidRPr="00DE4325">
        <w:rPr>
          <w:rFonts w:asciiTheme="majorBidi" w:hAnsiTheme="majorBidi" w:cstheme="majorBidi"/>
          <w:b/>
          <w:bCs/>
          <w:color w:val="131413"/>
        </w:rPr>
        <w:t>2</w:t>
      </w:r>
      <w:r w:rsidR="000D7476" w:rsidRPr="00DE4325">
        <w:rPr>
          <w:rFonts w:asciiTheme="majorBidi" w:hAnsiTheme="majorBidi" w:cstheme="majorBidi"/>
          <w:b/>
          <w:bCs/>
          <w:color w:val="131413"/>
        </w:rPr>
        <w:t>).</w:t>
      </w:r>
      <w:r w:rsidR="000D7476" w:rsidRPr="00DE4325">
        <w:rPr>
          <w:rFonts w:asciiTheme="majorBidi" w:hAnsiTheme="majorBidi" w:cstheme="majorBidi"/>
          <w:color w:val="131413"/>
        </w:rPr>
        <w:t xml:space="preserve"> </w:t>
      </w:r>
      <w:r w:rsidRPr="00DE4325">
        <w:rPr>
          <w:rFonts w:asciiTheme="majorBidi" w:hAnsiTheme="majorBidi" w:cstheme="majorBidi"/>
        </w:rPr>
        <w:t>Nashwa et al</w:t>
      </w:r>
      <w:r w:rsidR="001A0013" w:rsidRPr="00DE4325">
        <w:rPr>
          <w:rFonts w:asciiTheme="majorBidi" w:hAnsiTheme="majorBidi" w:cstheme="majorBidi"/>
          <w:b/>
          <w:bCs/>
          <w:color w:val="131413"/>
        </w:rPr>
        <w:t xml:space="preserve"> ,</w:t>
      </w:r>
      <w:r w:rsidRPr="00DE4325">
        <w:rPr>
          <w:rFonts w:asciiTheme="majorBidi" w:hAnsiTheme="majorBidi" w:cstheme="majorBidi"/>
          <w:color w:val="131413"/>
        </w:rPr>
        <w:t>suggested that T-cell CD39 expression  may provide a useful insight into the complex interrelationship of prognostic variables to predict the clinical course of patients with CLL, suggesting its use as a part of panel of molecules (CD38 and ZAP-70) as a new prognostic model, however, the additional clinical value of CD39 indicated in the present study should be validated in larger datasets of well-characterized patients with CLL</w:t>
      </w:r>
      <w:r w:rsidR="001A0013" w:rsidRPr="00DE4325">
        <w:rPr>
          <w:rFonts w:asciiTheme="majorBidi" w:hAnsiTheme="majorBidi" w:cstheme="majorBidi"/>
          <w:b/>
          <w:bCs/>
          <w:color w:val="131413"/>
        </w:rPr>
        <w:t>(13)</w:t>
      </w:r>
      <w:r w:rsidRPr="00DE4325">
        <w:rPr>
          <w:rFonts w:asciiTheme="majorBidi" w:hAnsiTheme="majorBidi" w:cstheme="majorBidi"/>
          <w:b/>
          <w:bCs/>
          <w:color w:val="131413"/>
        </w:rPr>
        <w:t>.</w:t>
      </w:r>
      <w:r w:rsidRPr="00DE4325">
        <w:rPr>
          <w:rFonts w:asciiTheme="majorBidi" w:hAnsiTheme="majorBidi" w:cstheme="majorBidi"/>
        </w:rPr>
        <w:t xml:space="preserve"> </w:t>
      </w:r>
      <w:r w:rsidR="001A0013" w:rsidRPr="00DE4325">
        <w:rPr>
          <w:rFonts w:asciiTheme="majorBidi" w:hAnsiTheme="majorBidi" w:cstheme="majorBidi"/>
        </w:rPr>
        <w:t>Pulte D et al,</w:t>
      </w:r>
      <w:r w:rsidRPr="00DE4325">
        <w:rPr>
          <w:rFonts w:asciiTheme="majorBidi" w:hAnsiTheme="majorBidi" w:cstheme="majorBidi"/>
          <w:color w:val="131413"/>
        </w:rPr>
        <w:t xml:space="preserve"> proved that CD39 expression is increased in the nonmalignant T-lymphocyte population in patients with CLL , there is a greater increase in patients with later stage disease , in contrast CD73 expression is decreased in patients with CLL compared with controls, but the level of CD73 expression is not strongly associated with stage or the requirement for chemotherapy</w:t>
      </w:r>
      <w:r w:rsidR="001A0013" w:rsidRPr="00DE4325">
        <w:rPr>
          <w:rFonts w:asciiTheme="majorBidi" w:hAnsiTheme="majorBidi" w:cstheme="majorBidi"/>
          <w:b/>
          <w:bCs/>
          <w:color w:val="131413"/>
        </w:rPr>
        <w:t>(11)</w:t>
      </w:r>
      <w:r w:rsidRPr="00DE4325">
        <w:rPr>
          <w:rFonts w:asciiTheme="majorBidi" w:hAnsiTheme="majorBidi" w:cstheme="majorBidi"/>
          <w:b/>
          <w:bCs/>
          <w:color w:val="131413"/>
        </w:rPr>
        <w:t>.</w:t>
      </w:r>
      <w:r w:rsidRPr="00DE4325">
        <w:rPr>
          <w:rFonts w:asciiTheme="majorBidi" w:hAnsiTheme="majorBidi" w:cstheme="majorBidi"/>
          <w:color w:val="131413"/>
        </w:rPr>
        <w:t xml:space="preserve"> </w:t>
      </w:r>
      <w:r w:rsidR="000D7476" w:rsidRPr="00DE4325">
        <w:rPr>
          <w:rFonts w:asciiTheme="majorBidi" w:hAnsiTheme="majorBidi" w:cstheme="majorBidi"/>
          <w:color w:val="131413"/>
        </w:rPr>
        <w:t>By immunohistochemistry Jeremy bastid et al</w:t>
      </w:r>
      <w:r w:rsidR="001A0013" w:rsidRPr="00DE4325">
        <w:rPr>
          <w:rFonts w:asciiTheme="majorBidi" w:hAnsiTheme="majorBidi" w:cstheme="majorBidi"/>
          <w:color w:val="131413"/>
        </w:rPr>
        <w:t>,</w:t>
      </w:r>
      <w:r w:rsidR="000D7476" w:rsidRPr="00DE4325">
        <w:rPr>
          <w:rFonts w:asciiTheme="majorBidi" w:hAnsiTheme="majorBidi" w:cstheme="majorBidi"/>
          <w:color w:val="131413"/>
        </w:rPr>
        <w:t xml:space="preserve"> found that vascular endothelia always stained positive for CD39 in both normal and tumor tissues, furthermore some lymphocytes in lymph node tissues stained positive for CD39 interestingly, CD39 expression was higher in </w:t>
      </w:r>
      <w:r w:rsidR="000D7476" w:rsidRPr="00DE4325">
        <w:rPr>
          <w:rFonts w:asciiTheme="majorBidi" w:hAnsiTheme="majorBidi" w:cstheme="majorBidi"/>
          <w:color w:val="131413"/>
        </w:rPr>
        <w:lastRenderedPageBreak/>
        <w:t>many tumor tissue than in normal specimens</w:t>
      </w:r>
      <w:r w:rsidR="006F1760" w:rsidRPr="00DE4325">
        <w:rPr>
          <w:rFonts w:asciiTheme="majorBidi" w:hAnsiTheme="majorBidi" w:cstheme="majorBidi"/>
          <w:b/>
          <w:bCs/>
          <w:color w:val="131413"/>
        </w:rPr>
        <w:t>(14</w:t>
      </w:r>
      <w:r w:rsidR="001A0013" w:rsidRPr="00DE4325">
        <w:rPr>
          <w:rFonts w:asciiTheme="majorBidi" w:hAnsiTheme="majorBidi" w:cstheme="majorBidi"/>
          <w:b/>
          <w:bCs/>
          <w:color w:val="131413"/>
        </w:rPr>
        <w:t>)</w:t>
      </w:r>
      <w:r w:rsidR="000D7476" w:rsidRPr="00DE4325">
        <w:rPr>
          <w:rFonts w:asciiTheme="majorBidi" w:hAnsiTheme="majorBidi" w:cstheme="majorBidi"/>
          <w:b/>
          <w:bCs/>
          <w:color w:val="131413"/>
        </w:rPr>
        <w:t>.</w:t>
      </w:r>
      <w:r w:rsidR="000D7476" w:rsidRPr="00DE4325">
        <w:rPr>
          <w:rFonts w:asciiTheme="majorBidi" w:hAnsiTheme="majorBidi" w:cstheme="majorBidi"/>
          <w:b/>
          <w:bCs/>
        </w:rPr>
        <w:t xml:space="preserve"> </w:t>
      </w:r>
    </w:p>
    <w:p w:rsidR="000D7476" w:rsidRPr="00DE4325" w:rsidRDefault="000D7476" w:rsidP="002D7896">
      <w:pPr>
        <w:bidi w:val="0"/>
        <w:spacing w:line="240" w:lineRule="auto"/>
        <w:rPr>
          <w:rFonts w:ascii="Times New Roman" w:hAnsi="Times New Roman" w:cs="Times New Roman"/>
          <w:b/>
          <w:bCs/>
          <w:sz w:val="28"/>
          <w:szCs w:val="28"/>
        </w:rPr>
      </w:pPr>
      <w:r w:rsidRPr="00DE4325">
        <w:rPr>
          <w:rFonts w:ascii="Times New Roman" w:hAnsi="Times New Roman" w:cs="Times New Roman"/>
          <w:b/>
          <w:bCs/>
          <w:sz w:val="28"/>
          <w:szCs w:val="28"/>
        </w:rPr>
        <w:t>Conclusion</w:t>
      </w:r>
    </w:p>
    <w:p w:rsidR="000D7476" w:rsidRPr="00DE4325" w:rsidRDefault="000D7476" w:rsidP="002D7896">
      <w:pPr>
        <w:tabs>
          <w:tab w:val="right" w:pos="8377"/>
        </w:tabs>
        <w:autoSpaceDE w:val="0"/>
        <w:autoSpaceDN w:val="0"/>
        <w:bidi w:val="0"/>
        <w:adjustRightInd w:val="0"/>
        <w:spacing w:after="0" w:line="360" w:lineRule="auto"/>
        <w:ind w:right="-42" w:firstLine="7"/>
        <w:jc w:val="both"/>
        <w:rPr>
          <w:rFonts w:ascii="AGaramond-Regular" w:hAnsi="AGaramond-Regular" w:cs="AGaramond-Regular"/>
          <w:b/>
          <w:bCs/>
        </w:rPr>
      </w:pPr>
      <w:r w:rsidRPr="00DE4325">
        <w:rPr>
          <w:rFonts w:ascii="Times New Roman" w:eastAsia="Times New Roman" w:hAnsi="Times New Roman" w:cs="Times New Roman"/>
          <w:lang w:bidi="ar-EG"/>
        </w:rPr>
        <w:t xml:space="preserve">    </w:t>
      </w:r>
      <w:r w:rsidRPr="00DE4325">
        <w:rPr>
          <w:rFonts w:asciiTheme="majorBidi" w:hAnsiTheme="majorBidi" w:cstheme="majorBidi"/>
          <w:color w:val="131413"/>
        </w:rPr>
        <w:t xml:space="preserve">In conclusion, the results of our research suggest that the levels CD39 </w:t>
      </w:r>
      <w:r w:rsidR="00EB1BB6" w:rsidRPr="00DE4325">
        <w:rPr>
          <w:rFonts w:asciiTheme="majorBidi" w:hAnsiTheme="majorBidi" w:cstheme="majorBidi"/>
          <w:color w:val="131413"/>
        </w:rPr>
        <w:t>on T L</w:t>
      </w:r>
      <w:r w:rsidRPr="00DE4325">
        <w:rPr>
          <w:rFonts w:asciiTheme="majorBidi" w:hAnsiTheme="majorBidi" w:cstheme="majorBidi"/>
          <w:color w:val="131413"/>
        </w:rPr>
        <w:t xml:space="preserve">ymphocytes </w:t>
      </w:r>
      <w:r w:rsidR="00EB1BB6" w:rsidRPr="00DE4325">
        <w:rPr>
          <w:rFonts w:asciiTheme="majorBidi" w:hAnsiTheme="majorBidi" w:cstheme="majorBidi"/>
          <w:color w:val="131413"/>
        </w:rPr>
        <w:t>c</w:t>
      </w:r>
      <w:r w:rsidRPr="00DE4325">
        <w:rPr>
          <w:rFonts w:asciiTheme="majorBidi" w:hAnsiTheme="majorBidi" w:cstheme="majorBidi"/>
          <w:color w:val="131413"/>
        </w:rPr>
        <w:t xml:space="preserve">orrelates </w:t>
      </w:r>
      <w:r w:rsidR="00EB1BB6" w:rsidRPr="00DE4325">
        <w:rPr>
          <w:rFonts w:asciiTheme="majorBidi" w:hAnsiTheme="majorBidi" w:cstheme="majorBidi"/>
          <w:color w:val="131413"/>
        </w:rPr>
        <w:t>with s</w:t>
      </w:r>
      <w:r w:rsidRPr="00DE4325">
        <w:rPr>
          <w:rFonts w:asciiTheme="majorBidi" w:hAnsiTheme="majorBidi" w:cstheme="majorBidi"/>
          <w:color w:val="131413"/>
        </w:rPr>
        <w:t>everity</w:t>
      </w:r>
      <w:r w:rsidR="00EB1BB6" w:rsidRPr="00DE4325">
        <w:rPr>
          <w:rFonts w:asciiTheme="majorBidi" w:hAnsiTheme="majorBidi" w:cstheme="majorBidi"/>
          <w:color w:val="131413"/>
        </w:rPr>
        <w:t xml:space="preserve"> </w:t>
      </w:r>
      <w:r w:rsidRPr="00DE4325">
        <w:rPr>
          <w:rFonts w:asciiTheme="majorBidi" w:hAnsiTheme="majorBidi" w:cstheme="majorBidi"/>
          <w:color w:val="131413"/>
        </w:rPr>
        <w:t>of CLL</w:t>
      </w:r>
      <w:r w:rsidR="00EB1BB6" w:rsidRPr="00DE4325">
        <w:rPr>
          <w:rFonts w:asciiTheme="majorBidi" w:hAnsiTheme="majorBidi" w:cstheme="majorBidi"/>
          <w:color w:val="131413"/>
        </w:rPr>
        <w:t>.</w:t>
      </w:r>
    </w:p>
    <w:p w:rsidR="000D7476" w:rsidRPr="00DE4325" w:rsidRDefault="000D7476" w:rsidP="002D7896">
      <w:pPr>
        <w:bidi w:val="0"/>
        <w:spacing w:line="240" w:lineRule="auto"/>
        <w:rPr>
          <w:rFonts w:ascii="Times New Roman" w:hAnsi="Times New Roman" w:cs="Times New Roman"/>
          <w:b/>
          <w:bCs/>
          <w:sz w:val="28"/>
          <w:szCs w:val="28"/>
        </w:rPr>
      </w:pPr>
      <w:r w:rsidRPr="00DE4325">
        <w:rPr>
          <w:rFonts w:ascii="Times New Roman" w:hAnsi="Times New Roman" w:cs="Times New Roman"/>
          <w:b/>
          <w:bCs/>
          <w:sz w:val="28"/>
          <w:szCs w:val="28"/>
        </w:rPr>
        <w:t>References:</w:t>
      </w:r>
    </w:p>
    <w:p w:rsidR="007A2121" w:rsidRPr="00DE4325" w:rsidRDefault="007A2121" w:rsidP="00DE4325">
      <w:pPr>
        <w:pStyle w:val="ListParagraph"/>
        <w:numPr>
          <w:ilvl w:val="0"/>
          <w:numId w:val="2"/>
        </w:numPr>
        <w:tabs>
          <w:tab w:val="right" w:pos="8377"/>
        </w:tabs>
        <w:bidi w:val="0"/>
        <w:spacing w:after="0" w:line="240" w:lineRule="auto"/>
        <w:ind w:right="-42"/>
        <w:jc w:val="both"/>
        <w:rPr>
          <w:rFonts w:asciiTheme="majorBidi" w:hAnsiTheme="majorBidi" w:cstheme="majorBidi"/>
        </w:rPr>
      </w:pPr>
      <w:r w:rsidRPr="00DE4325">
        <w:rPr>
          <w:rFonts w:asciiTheme="majorBidi" w:hAnsiTheme="majorBidi" w:cstheme="majorBidi"/>
          <w:b/>
          <w:bCs/>
        </w:rPr>
        <w:t>Byrd and John;</w:t>
      </w:r>
      <w:r w:rsidRPr="00DE4325">
        <w:rPr>
          <w:rFonts w:asciiTheme="majorBidi" w:hAnsiTheme="majorBidi" w:cstheme="majorBidi"/>
        </w:rPr>
        <w:t xml:space="preserve"> "Chronic Lymphocytic Leukemia". Leukemia &amp; Lymphoma Society, Retrieved 24 March 2014</w:t>
      </w:r>
    </w:p>
    <w:p w:rsidR="009509C1" w:rsidRPr="00DE4325" w:rsidRDefault="009509C1" w:rsidP="00DE4325">
      <w:pPr>
        <w:pStyle w:val="ListParagraph"/>
        <w:numPr>
          <w:ilvl w:val="0"/>
          <w:numId w:val="2"/>
        </w:numPr>
        <w:tabs>
          <w:tab w:val="right" w:pos="8377"/>
        </w:tabs>
        <w:bidi w:val="0"/>
        <w:spacing w:after="0" w:line="240" w:lineRule="auto"/>
        <w:ind w:right="-42"/>
        <w:jc w:val="both"/>
        <w:rPr>
          <w:rFonts w:asciiTheme="majorBidi" w:hAnsiTheme="majorBidi" w:cstheme="majorBidi"/>
        </w:rPr>
      </w:pPr>
      <w:r w:rsidRPr="00DE4325">
        <w:rPr>
          <w:rFonts w:asciiTheme="majorBidi" w:hAnsiTheme="majorBidi" w:cstheme="majorBidi"/>
        </w:rPr>
        <w:t>.</w:t>
      </w:r>
      <w:r w:rsidRPr="00DE4325">
        <w:rPr>
          <w:rFonts w:asciiTheme="majorBidi" w:hAnsiTheme="majorBidi" w:cstheme="majorBidi"/>
          <w:b/>
          <w:bCs/>
        </w:rPr>
        <w:t>Chiorazzi N, Rai KR, Ferrarini M; (2005).</w:t>
      </w:r>
      <w:r w:rsidRPr="00DE4325">
        <w:rPr>
          <w:rFonts w:asciiTheme="majorBidi" w:hAnsiTheme="majorBidi" w:cstheme="majorBidi"/>
        </w:rPr>
        <w:t xml:space="preserve"> "Chronic lymphocytic leukemia". N. Engl. J. Med. 352 (8): 804–15. doi:10.1056/NEJMra041720</w:t>
      </w:r>
    </w:p>
    <w:p w:rsidR="009509C1" w:rsidRPr="00DE4325" w:rsidRDefault="009509C1" w:rsidP="00DE4325">
      <w:pPr>
        <w:pStyle w:val="ListParagraph"/>
        <w:widowControl w:val="0"/>
        <w:numPr>
          <w:ilvl w:val="0"/>
          <w:numId w:val="2"/>
        </w:numPr>
        <w:tabs>
          <w:tab w:val="right" w:pos="8377"/>
        </w:tabs>
        <w:autoSpaceDE w:val="0"/>
        <w:autoSpaceDN w:val="0"/>
        <w:bidi w:val="0"/>
        <w:adjustRightInd w:val="0"/>
        <w:spacing w:after="0" w:line="240" w:lineRule="auto"/>
        <w:ind w:right="-42"/>
        <w:jc w:val="both"/>
        <w:rPr>
          <w:rFonts w:asciiTheme="majorBidi" w:hAnsiTheme="majorBidi" w:cstheme="majorBidi"/>
        </w:rPr>
      </w:pPr>
      <w:r w:rsidRPr="00DE4325">
        <w:rPr>
          <w:rFonts w:asciiTheme="majorBidi" w:hAnsiTheme="majorBidi" w:cstheme="majorBidi"/>
          <w:b/>
          <w:bCs/>
        </w:rPr>
        <w:t xml:space="preserve">Deaglio </w:t>
      </w:r>
      <w:r w:rsidR="000D7476" w:rsidRPr="00DE4325">
        <w:rPr>
          <w:rFonts w:asciiTheme="majorBidi" w:hAnsiTheme="majorBidi" w:cstheme="majorBidi"/>
          <w:b/>
          <w:bCs/>
        </w:rPr>
        <w:t>S, Dwyer KM, Gao W and Friedman D,</w:t>
      </w:r>
      <w:r w:rsidRPr="00DE4325">
        <w:rPr>
          <w:rFonts w:asciiTheme="majorBidi" w:hAnsiTheme="majorBidi" w:cstheme="majorBidi"/>
          <w:b/>
          <w:bCs/>
        </w:rPr>
        <w:t xml:space="preserve"> et al</w:t>
      </w:r>
      <w:r w:rsidRPr="00DE4325">
        <w:rPr>
          <w:rFonts w:asciiTheme="majorBidi" w:hAnsiTheme="majorBidi" w:cstheme="majorBidi"/>
        </w:rPr>
        <w:t>. Adenosine generation catalyzed by CD39 and CD73 expressed on regulatory T cells mediates immune suppression. J. Exp. Med. 2007;204:1257–1265.</w:t>
      </w:r>
    </w:p>
    <w:p w:rsidR="009509C1" w:rsidRPr="00DE4325" w:rsidRDefault="009509C1" w:rsidP="00DE4325">
      <w:pPr>
        <w:pStyle w:val="ListParagraph"/>
        <w:numPr>
          <w:ilvl w:val="0"/>
          <w:numId w:val="2"/>
        </w:numPr>
        <w:tabs>
          <w:tab w:val="right" w:pos="8377"/>
        </w:tabs>
        <w:bidi w:val="0"/>
        <w:spacing w:after="0" w:line="240" w:lineRule="auto"/>
        <w:ind w:right="-42"/>
        <w:jc w:val="both"/>
        <w:rPr>
          <w:rFonts w:asciiTheme="majorBidi" w:hAnsiTheme="majorBidi" w:cstheme="majorBidi"/>
        </w:rPr>
      </w:pPr>
      <w:r w:rsidRPr="00DE4325">
        <w:rPr>
          <w:rFonts w:asciiTheme="majorBidi" w:hAnsiTheme="majorBidi" w:cstheme="majorBidi"/>
        </w:rPr>
        <w:t>.</w:t>
      </w:r>
      <w:r w:rsidRPr="00DE4325">
        <w:rPr>
          <w:rFonts w:asciiTheme="majorBidi" w:hAnsiTheme="majorBidi" w:cstheme="majorBidi"/>
          <w:b/>
          <w:bCs/>
        </w:rPr>
        <w:t>Hyman MC, Petrovic-Djergovic D and Visovatti SH et al</w:t>
      </w:r>
      <w:r w:rsidRPr="00DE4325">
        <w:rPr>
          <w:rFonts w:asciiTheme="majorBidi" w:hAnsiTheme="majorBidi" w:cstheme="majorBidi"/>
        </w:rPr>
        <w:t xml:space="preserve"> ; Self-regulation of inﬂammatory cell trafﬁcking in mice by the leukocyte surface apyrase CD39.JClinInvest 2009; 119:1136-49. 13. </w:t>
      </w:r>
    </w:p>
    <w:p w:rsidR="00360049" w:rsidRPr="00DE4325" w:rsidRDefault="006674B4" w:rsidP="00DE4325">
      <w:pPr>
        <w:autoSpaceDE w:val="0"/>
        <w:autoSpaceDN w:val="0"/>
        <w:bidi w:val="0"/>
        <w:adjustRightInd w:val="0"/>
        <w:spacing w:after="0" w:line="240" w:lineRule="auto"/>
        <w:ind w:hanging="284"/>
        <w:jc w:val="both"/>
        <w:rPr>
          <w:rFonts w:asciiTheme="majorBidi" w:hAnsiTheme="majorBidi" w:cstheme="majorBidi"/>
        </w:rPr>
      </w:pPr>
      <w:r w:rsidRPr="00DE4325">
        <w:rPr>
          <w:rFonts w:asciiTheme="majorBidi" w:hAnsiTheme="majorBidi" w:cstheme="majorBidi"/>
          <w:b/>
          <w:bCs/>
        </w:rPr>
        <w:t>5</w:t>
      </w:r>
      <w:r w:rsidR="00DE4325">
        <w:rPr>
          <w:rFonts w:asciiTheme="majorBidi" w:hAnsiTheme="majorBidi" w:cstheme="majorBidi"/>
          <w:b/>
          <w:bCs/>
        </w:rPr>
        <w:t xml:space="preserve"> </w:t>
      </w:r>
      <w:r w:rsidR="000D7476" w:rsidRPr="00DE4325">
        <w:rPr>
          <w:rFonts w:asciiTheme="majorBidi" w:hAnsiTheme="majorBidi" w:cstheme="majorBidi"/>
          <w:b/>
          <w:bCs/>
        </w:rPr>
        <w:t>-</w:t>
      </w:r>
      <w:r w:rsidR="00360049" w:rsidRPr="00DE4325">
        <w:rPr>
          <w:rFonts w:asciiTheme="majorBidi" w:hAnsiTheme="majorBidi" w:cstheme="majorBidi"/>
          <w:b/>
          <w:bCs/>
        </w:rPr>
        <w:t>Patten PE, Buggins AG, Richards J, et al.</w:t>
      </w:r>
      <w:r w:rsidR="00360049" w:rsidRPr="00DE4325">
        <w:rPr>
          <w:rFonts w:asciiTheme="majorBidi" w:hAnsiTheme="majorBidi" w:cstheme="majorBidi"/>
        </w:rPr>
        <w:t xml:space="preserve"> CD38 expression in chronic lymphocytic leukemia is regulated by the tumor microenvironment. Blood 2008;111(10):5173-5181.</w:t>
      </w:r>
    </w:p>
    <w:p w:rsidR="000F744D" w:rsidRPr="00DE4325" w:rsidRDefault="000F744D" w:rsidP="00DE4325">
      <w:pPr>
        <w:autoSpaceDE w:val="0"/>
        <w:autoSpaceDN w:val="0"/>
        <w:bidi w:val="0"/>
        <w:adjustRightInd w:val="0"/>
        <w:spacing w:after="0" w:line="240" w:lineRule="auto"/>
        <w:jc w:val="both"/>
        <w:rPr>
          <w:rFonts w:asciiTheme="majorBidi" w:hAnsiTheme="majorBidi" w:cstheme="majorBidi"/>
        </w:rPr>
      </w:pPr>
    </w:p>
    <w:p w:rsidR="00360049" w:rsidRPr="00DE4325" w:rsidRDefault="006674B4" w:rsidP="00DE4325">
      <w:pPr>
        <w:tabs>
          <w:tab w:val="right" w:pos="8377"/>
        </w:tabs>
        <w:bidi w:val="0"/>
        <w:spacing w:after="0" w:line="240" w:lineRule="auto"/>
        <w:ind w:right="-42" w:hanging="284"/>
        <w:jc w:val="both"/>
        <w:rPr>
          <w:rFonts w:asciiTheme="majorBidi" w:hAnsiTheme="majorBidi" w:cstheme="majorBidi"/>
          <w:rtl/>
        </w:rPr>
      </w:pPr>
      <w:r w:rsidRPr="00DE4325">
        <w:rPr>
          <w:rFonts w:asciiTheme="majorBidi" w:hAnsiTheme="majorBidi" w:cstheme="majorBidi"/>
          <w:b/>
          <w:bCs/>
        </w:rPr>
        <w:t>6</w:t>
      </w:r>
      <w:r w:rsidR="000D7476" w:rsidRPr="00DE4325">
        <w:rPr>
          <w:rFonts w:asciiTheme="majorBidi" w:hAnsiTheme="majorBidi" w:cstheme="majorBidi"/>
          <w:b/>
          <w:bCs/>
        </w:rPr>
        <w:t>-</w:t>
      </w:r>
      <w:r w:rsidR="00DE4325">
        <w:rPr>
          <w:rFonts w:asciiTheme="majorBidi" w:hAnsiTheme="majorBidi" w:cstheme="majorBidi"/>
          <w:b/>
          <w:bCs/>
        </w:rPr>
        <w:t xml:space="preserve"> </w:t>
      </w:r>
      <w:r w:rsidR="000F744D" w:rsidRPr="00DE4325">
        <w:rPr>
          <w:rFonts w:asciiTheme="majorBidi" w:hAnsiTheme="majorBidi" w:cstheme="majorBidi"/>
          <w:b/>
          <w:bCs/>
        </w:rPr>
        <w:t>Chava Perry and Aaron Polliack,2012</w:t>
      </w:r>
      <w:r w:rsidR="000F744D" w:rsidRPr="00DE4325">
        <w:rPr>
          <w:rFonts w:asciiTheme="majorBidi" w:hAnsiTheme="majorBidi" w:cstheme="majorBidi"/>
        </w:rPr>
        <w:t xml:space="preserve"> ;Regulatory T cells in chronic lymphocytic leukemia: Leukemia &amp; Lymphoma, May 2013; 54(5): 903–904, 2013 Informa UK, Ltd.ISSN:1042-8194print / 1029-2403 onlineDOI: 10.3109/10428194.2012.747681</w:t>
      </w:r>
    </w:p>
    <w:p w:rsidR="00ED119F" w:rsidRPr="00DE4325" w:rsidRDefault="000D7476" w:rsidP="00DE4325">
      <w:pPr>
        <w:tabs>
          <w:tab w:val="right" w:pos="8377"/>
        </w:tabs>
        <w:bidi w:val="0"/>
        <w:spacing w:after="0" w:line="240" w:lineRule="auto"/>
        <w:ind w:right="-40" w:hanging="284"/>
        <w:jc w:val="both"/>
        <w:rPr>
          <w:rFonts w:asciiTheme="majorBidi" w:hAnsiTheme="majorBidi" w:cstheme="majorBidi"/>
        </w:rPr>
      </w:pPr>
      <w:r w:rsidRPr="00DE4325">
        <w:rPr>
          <w:rFonts w:asciiTheme="majorBidi" w:hAnsiTheme="majorBidi" w:cstheme="majorBidi"/>
          <w:b/>
          <w:bCs/>
        </w:rPr>
        <w:t>7-</w:t>
      </w:r>
      <w:r w:rsidR="00ED119F" w:rsidRPr="00DE4325">
        <w:rPr>
          <w:rFonts w:asciiTheme="majorBidi" w:hAnsiTheme="majorBidi" w:cstheme="majorBidi"/>
          <w:b/>
          <w:bCs/>
        </w:rPr>
        <w:t>Hallek M;</w:t>
      </w:r>
      <w:r w:rsidR="00ED119F" w:rsidRPr="00DE4325">
        <w:rPr>
          <w:rFonts w:asciiTheme="majorBidi" w:hAnsiTheme="majorBidi" w:cstheme="majorBidi"/>
        </w:rPr>
        <w:t xml:space="preserve"> Chronic lymphocytic leukemia: 2017 update on diagnosis, risk stratification, and treatment. Am J Hematol. 2017;92:946–965. </w:t>
      </w:r>
      <w:hyperlink r:id="rId10" w:history="1">
        <w:r w:rsidR="002D26E9" w:rsidRPr="00DE4325">
          <w:rPr>
            <w:rStyle w:val="Hyperlink"/>
            <w:rFonts w:asciiTheme="majorBidi" w:hAnsiTheme="majorBidi" w:cstheme="majorBidi"/>
            <w:color w:val="auto"/>
            <w:u w:val="none"/>
          </w:rPr>
          <w:t>https://doi.org/10.1002/ajh. 24826</w:t>
        </w:r>
      </w:hyperlink>
    </w:p>
    <w:p w:rsidR="006F1760" w:rsidRPr="00DE4325" w:rsidRDefault="006F1760" w:rsidP="00DE4325">
      <w:pPr>
        <w:tabs>
          <w:tab w:val="right" w:pos="8377"/>
        </w:tabs>
        <w:bidi w:val="0"/>
        <w:spacing w:after="0" w:line="240" w:lineRule="auto"/>
        <w:ind w:right="-40" w:hanging="284"/>
        <w:jc w:val="both"/>
        <w:rPr>
          <w:rFonts w:asciiTheme="majorBidi" w:hAnsiTheme="majorBidi" w:cstheme="majorBidi"/>
        </w:rPr>
      </w:pPr>
      <w:r w:rsidRPr="00DE4325">
        <w:rPr>
          <w:rFonts w:asciiTheme="majorBidi" w:hAnsiTheme="majorBidi" w:cstheme="majorBidi"/>
          <w:b/>
          <w:bCs/>
        </w:rPr>
        <w:t>8-John C. Byrd, Stephan Stilgenbauer and Ian W. Flinn</w:t>
      </w:r>
      <w:r w:rsidRPr="00DE4325">
        <w:rPr>
          <w:rFonts w:asciiTheme="majorBidi" w:hAnsiTheme="majorBidi" w:cstheme="majorBidi"/>
        </w:rPr>
        <w:t xml:space="preserve"> Chronic Lymphocytic Leukemia doi: 10.1182/asheducation-2004.1.163 ASH Education Book January 1, 2004 vol. 2004 no. 1 163-183</w:t>
      </w:r>
    </w:p>
    <w:p w:rsidR="002D26E9" w:rsidRPr="00DE4325" w:rsidRDefault="001A0013" w:rsidP="00DE4325">
      <w:pPr>
        <w:tabs>
          <w:tab w:val="right" w:pos="8377"/>
        </w:tabs>
        <w:bidi w:val="0"/>
        <w:spacing w:after="0" w:line="240" w:lineRule="auto"/>
        <w:ind w:right="-40" w:hanging="284"/>
        <w:jc w:val="both"/>
        <w:rPr>
          <w:rFonts w:asciiTheme="majorBidi" w:hAnsiTheme="majorBidi" w:cstheme="majorBidi"/>
        </w:rPr>
      </w:pPr>
      <w:r w:rsidRPr="00DE4325">
        <w:rPr>
          <w:rFonts w:asciiTheme="majorBidi" w:hAnsiTheme="majorBidi" w:cstheme="majorBidi"/>
          <w:b/>
          <w:bCs/>
        </w:rPr>
        <w:lastRenderedPageBreak/>
        <w:t>9</w:t>
      </w:r>
      <w:r w:rsidR="000D7476" w:rsidRPr="00DE4325">
        <w:rPr>
          <w:rFonts w:asciiTheme="majorBidi" w:hAnsiTheme="majorBidi" w:cstheme="majorBidi"/>
          <w:b/>
          <w:bCs/>
        </w:rPr>
        <w:t>-</w:t>
      </w:r>
      <w:r w:rsidR="002D26E9" w:rsidRPr="00DE4325">
        <w:rPr>
          <w:rFonts w:asciiTheme="majorBidi" w:hAnsiTheme="majorBidi" w:cstheme="majorBidi"/>
          <w:b/>
          <w:bCs/>
        </w:rPr>
        <w:t>Matutes E, and Polliack A,2000 ;</w:t>
      </w:r>
      <w:r w:rsidR="002D26E9" w:rsidRPr="00DE4325">
        <w:rPr>
          <w:rFonts w:asciiTheme="majorBidi" w:hAnsiTheme="majorBidi" w:cstheme="majorBidi"/>
        </w:rPr>
        <w:t xml:space="preserve"> Morphological and immunophenotypic features of chronic lymphocytic leukemia. First published: March 2000 DOI: 10.1046/j.1468-0734.2000.00002.</w:t>
      </w:r>
    </w:p>
    <w:p w:rsidR="006F1760" w:rsidRPr="00DE4325" w:rsidRDefault="006F1760" w:rsidP="00DE4325">
      <w:pPr>
        <w:tabs>
          <w:tab w:val="right" w:pos="8377"/>
        </w:tabs>
        <w:autoSpaceDE w:val="0"/>
        <w:autoSpaceDN w:val="0"/>
        <w:bidi w:val="0"/>
        <w:adjustRightInd w:val="0"/>
        <w:spacing w:after="0" w:line="240" w:lineRule="auto"/>
        <w:ind w:right="-40" w:hanging="284"/>
        <w:jc w:val="both"/>
        <w:rPr>
          <w:rFonts w:asciiTheme="majorBidi" w:hAnsiTheme="majorBidi" w:cstheme="majorBidi"/>
        </w:rPr>
      </w:pPr>
      <w:r w:rsidRPr="00DE4325">
        <w:rPr>
          <w:rFonts w:asciiTheme="majorBidi" w:hAnsiTheme="majorBidi" w:cstheme="majorBidi"/>
          <w:b/>
          <w:bCs/>
        </w:rPr>
        <w:t>10-Quiroga MP1, Balakrishnan K, Kurtova AV ,et al;</w:t>
      </w:r>
      <w:r w:rsidRPr="00DE4325">
        <w:rPr>
          <w:rFonts w:asciiTheme="majorBidi" w:hAnsiTheme="majorBidi" w:cstheme="majorBidi"/>
        </w:rPr>
        <w:t>. B-cell antigen receptor signaling enhances chronic lymphocytic leukemia cell migration and survival: Blood. 2009 Jul 30; 114(5): 1029–1037. Prepublished online 2009 Jun 2. doi:  10.1182/blood-2009-03-212837PMCID: PMC4916941,Lymphoid Neoplasia.</w:t>
      </w:r>
    </w:p>
    <w:p w:rsidR="000D7476" w:rsidRPr="00DE4325" w:rsidRDefault="000D7476" w:rsidP="00DE4325">
      <w:pPr>
        <w:tabs>
          <w:tab w:val="right" w:pos="8377"/>
        </w:tabs>
        <w:bidi w:val="0"/>
        <w:spacing w:after="0" w:line="240" w:lineRule="auto"/>
        <w:ind w:right="-42" w:hanging="284"/>
        <w:jc w:val="both"/>
        <w:rPr>
          <w:rFonts w:asciiTheme="majorBidi" w:hAnsiTheme="majorBidi" w:cstheme="majorBidi"/>
        </w:rPr>
      </w:pPr>
      <w:r w:rsidRPr="00DE4325">
        <w:rPr>
          <w:rFonts w:asciiTheme="majorBidi" w:hAnsiTheme="majorBidi" w:cstheme="majorBidi"/>
          <w:b/>
          <w:bCs/>
        </w:rPr>
        <w:t xml:space="preserve">11-Pulte D, Furman RR, Broekman MJ, et al ; </w:t>
      </w:r>
      <w:r w:rsidRPr="00DE4325">
        <w:rPr>
          <w:rFonts w:asciiTheme="majorBidi" w:hAnsiTheme="majorBidi" w:cstheme="majorBidi"/>
        </w:rPr>
        <w:t>CD39 expression on T lymphocytes correlates with severity of disease in patients with chronic lymphocytic leukemia. Clin Lymphoma Myeloma Leuk 2011;11</w:t>
      </w:r>
    </w:p>
    <w:p w:rsidR="000D7476" w:rsidRPr="00DE4325" w:rsidRDefault="000D7476" w:rsidP="00DE4325">
      <w:pPr>
        <w:tabs>
          <w:tab w:val="right" w:pos="8377"/>
        </w:tabs>
        <w:bidi w:val="0"/>
        <w:spacing w:after="0" w:line="240" w:lineRule="auto"/>
        <w:ind w:right="-42" w:hanging="284"/>
        <w:jc w:val="both"/>
        <w:rPr>
          <w:rFonts w:asciiTheme="majorBidi" w:hAnsiTheme="majorBidi" w:cstheme="majorBidi"/>
        </w:rPr>
      </w:pPr>
      <w:r w:rsidRPr="00DE4325">
        <w:rPr>
          <w:rFonts w:asciiTheme="majorBidi" w:hAnsiTheme="majorBidi" w:cstheme="majorBidi"/>
          <w:b/>
          <w:bCs/>
        </w:rPr>
        <w:lastRenderedPageBreak/>
        <w:t>12-D'Arena G, Laurenti L, Minervini MM et al (2011)</w:t>
      </w:r>
      <w:r w:rsidRPr="00DE4325">
        <w:rPr>
          <w:rFonts w:asciiTheme="majorBidi" w:hAnsiTheme="majorBidi" w:cstheme="majorBidi"/>
        </w:rPr>
        <w:t xml:space="preserve"> Regulatory Tcell number is increased in chronic lymphocytic leukemia patients and correlates with progressive disease. Leuk Res 35:363–368</w:t>
      </w:r>
    </w:p>
    <w:p w:rsidR="006F1760" w:rsidRPr="00DE4325" w:rsidRDefault="006F1760" w:rsidP="00DE4325">
      <w:pPr>
        <w:tabs>
          <w:tab w:val="right" w:pos="8377"/>
        </w:tabs>
        <w:autoSpaceDE w:val="0"/>
        <w:autoSpaceDN w:val="0"/>
        <w:bidi w:val="0"/>
        <w:adjustRightInd w:val="0"/>
        <w:spacing w:after="0" w:line="240" w:lineRule="auto"/>
        <w:ind w:right="-42" w:hanging="284"/>
        <w:jc w:val="both"/>
        <w:rPr>
          <w:rFonts w:asciiTheme="majorBidi" w:hAnsiTheme="majorBidi" w:cstheme="majorBidi"/>
          <w:b/>
          <w:bCs/>
        </w:rPr>
      </w:pPr>
      <w:r w:rsidRPr="00DE4325">
        <w:rPr>
          <w:rFonts w:asciiTheme="majorBidi" w:hAnsiTheme="majorBidi" w:cstheme="majorBidi"/>
          <w:b/>
          <w:bCs/>
        </w:rPr>
        <w:t>13-Nashwa Khairat, Abousamra Manal Salah El-Din, Eman Hamza Elzahaf ,</w:t>
      </w:r>
      <w:r w:rsidRPr="00DE4325">
        <w:rPr>
          <w:rFonts w:asciiTheme="majorBidi" w:hAnsiTheme="majorBidi" w:cstheme="majorBidi"/>
        </w:rPr>
        <w:t>2015 Ectonucleoside triphosphate diphosphohydrolase-1 (E-NTPDase1/CD39) as a new prognostic marker in chronic lymphocytic leukemiaPages 113-119 | Received 28 Oct 2013, Accepted 18 Mar 2014, Accepted author version posted online: 31 Mar 2014, Published online: 05 Jun 2014</w:t>
      </w:r>
    </w:p>
    <w:p w:rsidR="000D7476" w:rsidRPr="00DE4325" w:rsidRDefault="006F1760" w:rsidP="00DE4325">
      <w:pPr>
        <w:tabs>
          <w:tab w:val="right" w:pos="8377"/>
        </w:tabs>
        <w:bidi w:val="0"/>
        <w:spacing w:after="0" w:line="240" w:lineRule="auto"/>
        <w:ind w:right="-42" w:hanging="284"/>
        <w:jc w:val="both"/>
        <w:rPr>
          <w:rFonts w:asciiTheme="majorBidi" w:hAnsiTheme="majorBidi" w:cstheme="majorBidi"/>
        </w:rPr>
      </w:pPr>
      <w:r w:rsidRPr="00DE4325">
        <w:rPr>
          <w:rFonts w:asciiTheme="majorBidi" w:hAnsiTheme="majorBidi" w:cstheme="majorBidi"/>
          <w:b/>
          <w:bCs/>
          <w:color w:val="131413"/>
        </w:rPr>
        <w:t>14</w:t>
      </w:r>
      <w:r w:rsidR="000D7476" w:rsidRPr="00DE4325">
        <w:rPr>
          <w:rFonts w:asciiTheme="majorBidi" w:hAnsiTheme="majorBidi" w:cstheme="majorBidi"/>
          <w:b/>
          <w:bCs/>
          <w:color w:val="131413"/>
        </w:rPr>
        <w:t>-Bastid J, Regairaz A, Bonnefoy N, et al</w:t>
      </w:r>
      <w:r w:rsidR="000D7476" w:rsidRPr="00DE4325">
        <w:rPr>
          <w:rFonts w:asciiTheme="majorBidi" w:hAnsiTheme="majorBidi" w:cstheme="majorBidi"/>
          <w:color w:val="131413"/>
        </w:rPr>
        <w:t xml:space="preserve"> </w:t>
      </w:r>
      <w:r w:rsidR="000D7476" w:rsidRPr="00DE4325">
        <w:rPr>
          <w:rFonts w:asciiTheme="majorBidi" w:hAnsiTheme="majorBidi" w:cstheme="majorBidi"/>
          <w:b/>
          <w:bCs/>
          <w:color w:val="131413"/>
        </w:rPr>
        <w:t>;</w:t>
      </w:r>
      <w:r w:rsidR="000D7476" w:rsidRPr="00DE4325">
        <w:rPr>
          <w:rFonts w:asciiTheme="majorBidi" w:hAnsiTheme="majorBidi" w:cstheme="majorBidi"/>
          <w:color w:val="131413"/>
        </w:rPr>
        <w:t xml:space="preserve"> Inhibition of CD39 enzymatic function at the surface of tumor cells alleviates their immunosuppressive activity. Cancer Immunol Res. 2015;3:254</w:t>
      </w:r>
      <w:r w:rsidR="000D7476" w:rsidRPr="00DE4325">
        <w:rPr>
          <w:rFonts w:asciiTheme="majorBidi" w:eastAsia="NwwxrjAdvTT3713a231+20" w:hAnsiTheme="majorBidi" w:cstheme="majorBidi"/>
          <w:color w:val="131413"/>
        </w:rPr>
        <w:t>–</w:t>
      </w:r>
      <w:r w:rsidR="000D7476" w:rsidRPr="00DE4325">
        <w:rPr>
          <w:rFonts w:asciiTheme="majorBidi" w:hAnsiTheme="majorBidi" w:cstheme="majorBidi"/>
          <w:color w:val="131413"/>
        </w:rPr>
        <w:t>65.</w:t>
      </w:r>
    </w:p>
    <w:p w:rsidR="00DE4325" w:rsidRDefault="00DE4325" w:rsidP="00B1137C">
      <w:pPr>
        <w:tabs>
          <w:tab w:val="right" w:pos="8377"/>
        </w:tabs>
        <w:bidi w:val="0"/>
        <w:spacing w:line="360" w:lineRule="auto"/>
        <w:ind w:right="-42"/>
        <w:jc w:val="both"/>
        <w:rPr>
          <w:rFonts w:asciiTheme="majorBidi" w:hAnsiTheme="majorBidi" w:cstheme="majorBidi"/>
        </w:rPr>
        <w:sectPr w:rsidR="00DE4325" w:rsidSect="00DE4325">
          <w:type w:val="continuous"/>
          <w:pgSz w:w="12240" w:h="15840"/>
          <w:pgMar w:top="1440" w:right="1890" w:bottom="1440" w:left="1440" w:header="720" w:footer="720" w:gutter="0"/>
          <w:cols w:num="2" w:space="709"/>
          <w:docGrid w:linePitch="360"/>
        </w:sectPr>
      </w:pPr>
    </w:p>
    <w:p w:rsidR="002D7896" w:rsidRPr="00DE4325" w:rsidRDefault="002D7896" w:rsidP="00B1137C">
      <w:pPr>
        <w:tabs>
          <w:tab w:val="right" w:pos="8377"/>
        </w:tabs>
        <w:bidi w:val="0"/>
        <w:spacing w:line="360" w:lineRule="auto"/>
        <w:ind w:right="-42"/>
        <w:jc w:val="both"/>
        <w:rPr>
          <w:rFonts w:asciiTheme="majorBidi" w:hAnsiTheme="majorBidi" w:cstheme="majorBidi"/>
        </w:rPr>
      </w:pPr>
    </w:p>
    <w:p w:rsidR="00B1137C" w:rsidRPr="00C13456" w:rsidRDefault="00B1137C" w:rsidP="00B1137C">
      <w:pPr>
        <w:tabs>
          <w:tab w:val="right" w:pos="8377"/>
        </w:tabs>
        <w:bidi w:val="0"/>
        <w:spacing w:line="360" w:lineRule="auto"/>
        <w:ind w:right="-42"/>
        <w:jc w:val="both"/>
        <w:rPr>
          <w:rFonts w:asciiTheme="majorBidi" w:hAnsiTheme="majorBidi" w:cstheme="majorBidi"/>
          <w:sz w:val="28"/>
          <w:szCs w:val="28"/>
        </w:rPr>
      </w:pPr>
    </w:p>
    <w:p w:rsidR="000B30E0" w:rsidRPr="00DE4325" w:rsidRDefault="000B30E0" w:rsidP="006F1760">
      <w:pPr>
        <w:tabs>
          <w:tab w:val="left" w:pos="9360"/>
        </w:tabs>
        <w:bidi w:val="0"/>
        <w:ind w:left="630"/>
        <w:jc w:val="center"/>
        <w:rPr>
          <w:rFonts w:asciiTheme="majorBidi" w:hAnsiTheme="majorBidi" w:cstheme="majorBidi"/>
          <w:b/>
          <w:bCs/>
          <w:color w:val="000000" w:themeColor="text1"/>
          <w:sz w:val="28"/>
          <w:szCs w:val="28"/>
          <w:lang w:bidi="ar-EG"/>
        </w:rPr>
      </w:pPr>
      <w:r w:rsidRPr="00DE4325">
        <w:rPr>
          <w:rFonts w:asciiTheme="majorBidi" w:hAnsiTheme="majorBidi" w:cstheme="majorBidi" w:hint="cs"/>
          <w:b/>
          <w:bCs/>
          <w:color w:val="000000" w:themeColor="text1"/>
          <w:sz w:val="28"/>
          <w:szCs w:val="28"/>
          <w:rtl/>
          <w:lang w:bidi="ar-EG"/>
        </w:rPr>
        <w:t>الملخص العربي</w:t>
      </w:r>
    </w:p>
    <w:p w:rsidR="000B30E0" w:rsidRPr="000B30E0" w:rsidRDefault="000B30E0" w:rsidP="006F1760">
      <w:pPr>
        <w:tabs>
          <w:tab w:val="left" w:pos="9360"/>
        </w:tabs>
        <w:bidi w:val="0"/>
        <w:ind w:left="630"/>
        <w:jc w:val="center"/>
        <w:rPr>
          <w:rFonts w:asciiTheme="majorBidi" w:hAnsiTheme="majorBidi" w:cstheme="majorBidi"/>
          <w:color w:val="000000" w:themeColor="text1"/>
          <w:sz w:val="20"/>
          <w:szCs w:val="20"/>
          <w:rtl/>
          <w:lang w:bidi="ar-EG"/>
        </w:rPr>
      </w:pPr>
    </w:p>
    <w:p w:rsidR="000B30E0" w:rsidRPr="00DE4325" w:rsidRDefault="000B30E0" w:rsidP="00DE4325">
      <w:pPr>
        <w:tabs>
          <w:tab w:val="left" w:pos="9360"/>
        </w:tabs>
        <w:spacing w:after="0" w:line="240" w:lineRule="auto"/>
        <w:ind w:left="630"/>
        <w:rPr>
          <w:rFonts w:asciiTheme="majorBidi" w:hAnsiTheme="majorBidi" w:cstheme="majorBidi"/>
          <w:b/>
          <w:bCs/>
          <w:rtl/>
          <w:lang w:bidi="ar-EG"/>
        </w:rPr>
      </w:pPr>
      <w:r w:rsidRPr="000B30E0">
        <w:rPr>
          <w:rFonts w:asciiTheme="majorBidi" w:hAnsiTheme="majorBidi" w:cstheme="majorBidi"/>
          <w:b/>
          <w:bCs/>
          <w:sz w:val="20"/>
          <w:szCs w:val="20"/>
          <w:rtl/>
          <w:lang w:bidi="ar-EG"/>
        </w:rPr>
        <w:t xml:space="preserve">        </w:t>
      </w:r>
      <w:r w:rsidRPr="00DE4325">
        <w:rPr>
          <w:rFonts w:asciiTheme="majorBidi" w:hAnsiTheme="majorBidi" w:cstheme="majorBidi"/>
          <w:rtl/>
          <w:lang w:bidi="ar-EG"/>
        </w:rPr>
        <w:t xml:space="preserve">يعد </w:t>
      </w:r>
      <w:r w:rsidRPr="00DE4325">
        <w:rPr>
          <w:rFonts w:asciiTheme="majorBidi" w:hAnsiTheme="majorBidi" w:cstheme="majorBidi"/>
          <w:rtl/>
        </w:rPr>
        <w:t>سرطان الدم الليمفاوي المزمن  واحد</w:t>
      </w:r>
      <w:r w:rsidRPr="00DE4325">
        <w:rPr>
          <w:rFonts w:asciiTheme="majorBidi" w:hAnsiTheme="majorBidi" w:cstheme="majorBidi" w:hint="cs"/>
          <w:rtl/>
        </w:rPr>
        <w:t>ا</w:t>
      </w:r>
      <w:r w:rsidRPr="00DE4325">
        <w:rPr>
          <w:rFonts w:asciiTheme="majorBidi" w:hAnsiTheme="majorBidi" w:cstheme="majorBidi"/>
          <w:rtl/>
        </w:rPr>
        <w:t xml:space="preserve"> من اللوكيميا الأكثر شيوعا في أمريكا الشمالية، وهو ما يمثل </w:t>
      </w:r>
      <w:r w:rsidR="00CF317C" w:rsidRPr="00DE4325">
        <w:rPr>
          <w:rFonts w:asciiTheme="majorBidi" w:hAnsiTheme="majorBidi" w:cstheme="majorBidi"/>
          <w:rtl/>
        </w:rPr>
        <w:t>۲٥</w:t>
      </w:r>
      <w:r w:rsidRPr="00DE4325">
        <w:rPr>
          <w:rFonts w:asciiTheme="majorBidi" w:hAnsiTheme="majorBidi" w:cstheme="majorBidi"/>
          <w:rtl/>
        </w:rPr>
        <w:t>٪ -</w:t>
      </w:r>
      <w:r w:rsidR="00CF317C" w:rsidRPr="00DE4325">
        <w:rPr>
          <w:rFonts w:asciiTheme="majorBidi" w:hAnsiTheme="majorBidi" w:cstheme="majorBidi"/>
          <w:rtl/>
        </w:rPr>
        <w:t>٣٠</w:t>
      </w:r>
      <w:r w:rsidRPr="00DE4325">
        <w:rPr>
          <w:rFonts w:asciiTheme="majorBidi" w:hAnsiTheme="majorBidi" w:cstheme="majorBidi"/>
          <w:rtl/>
        </w:rPr>
        <w:t>٪ من جميع سرطانات الدم.</w:t>
      </w:r>
    </w:p>
    <w:p w:rsidR="000B30E0" w:rsidRPr="00DE4325" w:rsidRDefault="000B30E0" w:rsidP="00DE4325">
      <w:pPr>
        <w:tabs>
          <w:tab w:val="left" w:pos="9360"/>
        </w:tabs>
        <w:spacing w:after="0" w:line="240" w:lineRule="auto"/>
        <w:ind w:left="630"/>
        <w:rPr>
          <w:rFonts w:asciiTheme="majorBidi" w:hAnsiTheme="majorBidi" w:cstheme="majorBidi"/>
          <w:rtl/>
          <w:lang w:bidi="ar-EG"/>
        </w:rPr>
      </w:pPr>
      <w:r w:rsidRPr="00DE4325">
        <w:rPr>
          <w:rFonts w:asciiTheme="majorBidi" w:hAnsiTheme="majorBidi" w:cstheme="majorBidi"/>
          <w:rtl/>
          <w:lang w:bidi="ar-EG"/>
        </w:rPr>
        <w:t xml:space="preserve">      </w:t>
      </w:r>
      <w:r w:rsidRPr="00DE4325">
        <w:rPr>
          <w:rFonts w:asciiTheme="majorBidi" w:hAnsiTheme="majorBidi" w:cstheme="majorBidi" w:hint="cs"/>
          <w:rtl/>
        </w:rPr>
        <w:t xml:space="preserve">كما </w:t>
      </w:r>
      <w:r w:rsidRPr="00DE4325">
        <w:rPr>
          <w:rFonts w:asciiTheme="majorBidi" w:hAnsiTheme="majorBidi" w:cstheme="majorBidi"/>
          <w:rtl/>
        </w:rPr>
        <w:t>يتميز سرطان الدم بزياده في الخلايا الليمفاوية طويلة العمر التي تظهر نضجا</w:t>
      </w:r>
      <w:r w:rsidRPr="00DE4325">
        <w:rPr>
          <w:rFonts w:asciiTheme="majorBidi" w:hAnsiTheme="majorBidi" w:cstheme="majorBidi" w:hint="cs"/>
          <w:rtl/>
        </w:rPr>
        <w:t xml:space="preserve"> في النوع </w:t>
      </w:r>
      <w:r w:rsidRPr="00DE4325">
        <w:rPr>
          <w:rFonts w:asciiTheme="majorBidi" w:hAnsiTheme="majorBidi" w:cstheme="majorBidi"/>
          <w:rtl/>
        </w:rPr>
        <w:t>-</w:t>
      </w:r>
      <w:r w:rsidRPr="00DE4325">
        <w:rPr>
          <w:rFonts w:asciiTheme="majorBidi" w:hAnsiTheme="majorBidi" w:cstheme="majorBidi" w:hint="cs"/>
          <w:rtl/>
        </w:rPr>
        <w:t xml:space="preserve"> </w:t>
      </w:r>
      <w:r w:rsidRPr="00DE4325">
        <w:rPr>
          <w:rFonts w:asciiTheme="majorBidi" w:hAnsiTheme="majorBidi" w:cstheme="majorBidi"/>
          <w:rtl/>
          <w:lang w:bidi="ar-EG"/>
        </w:rPr>
        <w:t>ب</w:t>
      </w:r>
      <w:r w:rsidRPr="00DE4325">
        <w:rPr>
          <w:rFonts w:asciiTheme="majorBidi" w:hAnsiTheme="majorBidi" w:cstheme="majorBidi"/>
          <w:rtl/>
        </w:rPr>
        <w:t xml:space="preserve"> </w:t>
      </w:r>
      <w:r w:rsidRPr="00DE4325">
        <w:rPr>
          <w:rFonts w:asciiTheme="majorBidi" w:hAnsiTheme="majorBidi" w:cstheme="majorBidi" w:hint="cs"/>
          <w:rtl/>
        </w:rPr>
        <w:t>و</w:t>
      </w:r>
      <w:r w:rsidRPr="00DE4325">
        <w:rPr>
          <w:rFonts w:asciiTheme="majorBidi" w:hAnsiTheme="majorBidi" w:cstheme="majorBidi"/>
          <w:rtl/>
        </w:rPr>
        <w:t xml:space="preserve">التي </w:t>
      </w:r>
      <w:r w:rsidRPr="00DE4325">
        <w:rPr>
          <w:rFonts w:asciiTheme="majorBidi" w:hAnsiTheme="majorBidi" w:cstheme="majorBidi" w:hint="cs"/>
          <w:rtl/>
        </w:rPr>
        <w:t>تحمل</w:t>
      </w:r>
      <w:r w:rsidRPr="00DE4325">
        <w:rPr>
          <w:rFonts w:asciiTheme="majorBidi" w:hAnsiTheme="majorBidi" w:cstheme="majorBidi"/>
          <w:rtl/>
        </w:rPr>
        <w:t xml:space="preserve"> </w:t>
      </w:r>
      <w:r w:rsidRPr="00DE4325">
        <w:rPr>
          <w:rFonts w:asciiTheme="majorBidi" w:hAnsiTheme="majorBidi" w:cstheme="majorBidi" w:hint="cs"/>
          <w:rtl/>
        </w:rPr>
        <w:t>مجموعة التمايز</w:t>
      </w:r>
      <w:r w:rsidRPr="00DE4325">
        <w:rPr>
          <w:rFonts w:asciiTheme="majorBidi" w:hAnsiTheme="majorBidi" w:cstheme="majorBidi"/>
          <w:rtl/>
        </w:rPr>
        <w:t xml:space="preserve"> </w:t>
      </w:r>
      <w:r w:rsidRPr="00DE4325">
        <w:rPr>
          <w:rFonts w:asciiTheme="majorBidi" w:hAnsiTheme="majorBidi" w:cstheme="majorBidi"/>
          <w:rtl/>
          <w:lang w:bidi="ar-EG"/>
        </w:rPr>
        <w:t>سي</w:t>
      </w:r>
      <w:r w:rsidRPr="00DE4325">
        <w:rPr>
          <w:rFonts w:asciiTheme="majorBidi" w:hAnsiTheme="majorBidi" w:cstheme="majorBidi" w:hint="cs"/>
          <w:rtl/>
          <w:lang w:bidi="ar-EG"/>
        </w:rPr>
        <w:t xml:space="preserve"> </w:t>
      </w:r>
      <w:r w:rsidRPr="00DE4325">
        <w:rPr>
          <w:rFonts w:asciiTheme="majorBidi" w:hAnsiTheme="majorBidi" w:cstheme="majorBidi"/>
          <w:rtl/>
          <w:lang w:bidi="ar-EG"/>
        </w:rPr>
        <w:t>دي-</w:t>
      </w:r>
      <w:r w:rsidRPr="00DE4325">
        <w:rPr>
          <w:rFonts w:asciiTheme="majorBidi" w:hAnsiTheme="majorBidi" w:cstheme="majorBidi" w:hint="cs"/>
          <w:rtl/>
          <w:lang w:bidi="ar-EG"/>
        </w:rPr>
        <w:t xml:space="preserve"> </w:t>
      </w:r>
      <w:r w:rsidR="004E0511" w:rsidRPr="00DE4325">
        <w:rPr>
          <w:rFonts w:asciiTheme="majorBidi" w:hAnsiTheme="majorBidi" w:cstheme="majorBidi"/>
          <w:rtl/>
          <w:lang w:bidi="ar-EG"/>
        </w:rPr>
        <w:t>٥</w:t>
      </w:r>
      <w:r w:rsidR="004E0511" w:rsidRPr="00DE4325">
        <w:rPr>
          <w:rFonts w:asciiTheme="majorBidi" w:hAnsiTheme="majorBidi" w:cstheme="majorBidi"/>
          <w:lang w:bidi="ar-EG"/>
        </w:rPr>
        <w:t xml:space="preserve"> </w:t>
      </w:r>
      <w:r w:rsidRPr="00DE4325">
        <w:rPr>
          <w:rFonts w:asciiTheme="majorBidi" w:hAnsiTheme="majorBidi" w:cstheme="majorBidi"/>
          <w:rtl/>
          <w:lang w:bidi="ar-EG"/>
        </w:rPr>
        <w:t>وسي دي-</w:t>
      </w:r>
      <w:r w:rsidR="00CF317C" w:rsidRPr="00DE4325">
        <w:rPr>
          <w:rFonts w:asciiTheme="majorBidi" w:hAnsiTheme="majorBidi" w:cstheme="majorBidi"/>
          <w:rtl/>
          <w:lang w:bidi="ar-EG"/>
        </w:rPr>
        <w:t>١٩</w:t>
      </w:r>
      <w:r w:rsidRPr="00DE4325">
        <w:rPr>
          <w:rFonts w:asciiTheme="majorBidi" w:hAnsiTheme="majorBidi" w:cstheme="majorBidi"/>
          <w:rtl/>
          <w:lang w:bidi="ar-EG"/>
        </w:rPr>
        <w:t>وسي دي-</w:t>
      </w:r>
      <w:r w:rsidR="00CF317C" w:rsidRPr="00DE4325">
        <w:rPr>
          <w:rFonts w:asciiTheme="majorBidi" w:hAnsiTheme="majorBidi" w:cstheme="majorBidi"/>
          <w:rtl/>
          <w:lang w:bidi="ar-EG"/>
        </w:rPr>
        <w:t>۲٣</w:t>
      </w:r>
      <w:r w:rsidRPr="00DE4325">
        <w:rPr>
          <w:rFonts w:asciiTheme="majorBidi" w:hAnsiTheme="majorBidi" w:cstheme="majorBidi"/>
          <w:rtl/>
          <w:lang w:bidi="ar-EG"/>
        </w:rPr>
        <w:t xml:space="preserve">.                                                                                                                                                      </w:t>
      </w:r>
      <w:r w:rsidRPr="00DE4325">
        <w:rPr>
          <w:rFonts w:asciiTheme="majorBidi" w:hAnsiTheme="majorBidi" w:cstheme="majorBidi"/>
          <w:lang w:bidi="ar-EG"/>
        </w:rPr>
        <w:t xml:space="preserve"> </w:t>
      </w:r>
    </w:p>
    <w:p w:rsidR="000B30E0" w:rsidRPr="00DE4325" w:rsidRDefault="000B30E0" w:rsidP="00DE4325">
      <w:pPr>
        <w:tabs>
          <w:tab w:val="left" w:pos="9360"/>
        </w:tabs>
        <w:spacing w:after="0" w:line="240" w:lineRule="auto"/>
        <w:ind w:left="630"/>
        <w:rPr>
          <w:rFonts w:asciiTheme="majorBidi" w:hAnsiTheme="majorBidi" w:cstheme="majorBidi"/>
        </w:rPr>
      </w:pPr>
      <w:r w:rsidRPr="00DE4325">
        <w:rPr>
          <w:rFonts w:asciiTheme="majorBidi" w:hAnsiTheme="majorBidi" w:cstheme="majorBidi"/>
          <w:rtl/>
          <w:lang w:bidi="ar-EG"/>
        </w:rPr>
        <w:t xml:space="preserve">     </w:t>
      </w:r>
      <w:r w:rsidRPr="00DE4325">
        <w:rPr>
          <w:rFonts w:asciiTheme="majorBidi" w:hAnsiTheme="majorBidi" w:cstheme="majorBidi"/>
          <w:rtl/>
        </w:rPr>
        <w:t xml:space="preserve"> وقد وجد ف</w:t>
      </w:r>
      <w:r w:rsidRPr="00DE4325">
        <w:rPr>
          <w:rFonts w:asciiTheme="majorBidi" w:hAnsiTheme="majorBidi" w:cstheme="majorBidi" w:hint="cs"/>
          <w:rtl/>
          <w:lang w:bidi="ar-EG"/>
        </w:rPr>
        <w:t>ي سرطان الدم الليمفاوي المزمن</w:t>
      </w:r>
      <w:r w:rsidRPr="00DE4325">
        <w:rPr>
          <w:rFonts w:asciiTheme="majorBidi" w:hAnsiTheme="majorBidi" w:cstheme="majorBidi"/>
          <w:rtl/>
        </w:rPr>
        <w:t xml:space="preserve"> ارتفاع</w:t>
      </w:r>
      <w:r w:rsidRPr="00DE4325">
        <w:rPr>
          <w:rFonts w:asciiTheme="majorBidi" w:hAnsiTheme="majorBidi" w:cstheme="majorBidi" w:hint="cs"/>
          <w:rtl/>
        </w:rPr>
        <w:t>ا في</w:t>
      </w:r>
      <w:r w:rsidRPr="00DE4325">
        <w:rPr>
          <w:rFonts w:asciiTheme="majorBidi" w:hAnsiTheme="majorBidi" w:cstheme="majorBidi"/>
          <w:rtl/>
        </w:rPr>
        <w:t xml:space="preserve"> العدد المطلق للخلايا اللمفي</w:t>
      </w:r>
      <w:r w:rsidRPr="00DE4325">
        <w:rPr>
          <w:rFonts w:asciiTheme="majorBidi" w:hAnsiTheme="majorBidi" w:cstheme="majorBidi" w:hint="cs"/>
          <w:rtl/>
        </w:rPr>
        <w:t>اوية -</w:t>
      </w:r>
      <w:r w:rsidRPr="00DE4325">
        <w:rPr>
          <w:rFonts w:asciiTheme="majorBidi" w:hAnsiTheme="majorBidi" w:cstheme="majorBidi"/>
          <w:rtl/>
        </w:rPr>
        <w:t xml:space="preserve"> ت والتي سببها الزيادة في عدد الخلايا الحامله لسي دي-</w:t>
      </w:r>
      <w:r w:rsidR="00CF317C" w:rsidRPr="00DE4325">
        <w:rPr>
          <w:rFonts w:asciiTheme="majorBidi" w:hAnsiTheme="majorBidi" w:cstheme="majorBidi"/>
        </w:rPr>
        <w:t xml:space="preserve"> </w:t>
      </w:r>
      <w:r w:rsidR="00CF317C" w:rsidRPr="00DE4325">
        <w:rPr>
          <w:rFonts w:asciiTheme="majorBidi" w:hAnsiTheme="majorBidi" w:cstheme="majorBidi"/>
          <w:rtl/>
        </w:rPr>
        <w:t>٨</w:t>
      </w:r>
      <w:r w:rsidR="00CF317C" w:rsidRPr="00DE4325">
        <w:rPr>
          <w:rFonts w:asciiTheme="majorBidi" w:hAnsiTheme="majorBidi" w:cstheme="majorBidi"/>
        </w:rPr>
        <w:t xml:space="preserve"> </w:t>
      </w:r>
      <w:r w:rsidRPr="00DE4325">
        <w:rPr>
          <w:rFonts w:asciiTheme="majorBidi" w:hAnsiTheme="majorBidi" w:cstheme="majorBidi"/>
          <w:rtl/>
        </w:rPr>
        <w:t>على الرغم من أن العدد النسبي يكون منخفض</w:t>
      </w:r>
      <w:r w:rsidRPr="00DE4325">
        <w:rPr>
          <w:rFonts w:asciiTheme="majorBidi" w:hAnsiTheme="majorBidi" w:cstheme="majorBidi" w:hint="cs"/>
          <w:rtl/>
        </w:rPr>
        <w:t>ا</w:t>
      </w:r>
      <w:r w:rsidRPr="00DE4325">
        <w:rPr>
          <w:rFonts w:asciiTheme="majorBidi" w:hAnsiTheme="majorBidi" w:cstheme="majorBidi"/>
          <w:rtl/>
        </w:rPr>
        <w:t xml:space="preserve"> بسبب وجود عدد كبير من الخلايا الليمفاوية </w:t>
      </w:r>
      <w:r w:rsidRPr="00DE4325">
        <w:rPr>
          <w:rFonts w:asciiTheme="majorBidi" w:hAnsiTheme="majorBidi" w:cstheme="majorBidi"/>
        </w:rPr>
        <w:t>-</w:t>
      </w:r>
      <w:r w:rsidRPr="00DE4325">
        <w:rPr>
          <w:rFonts w:asciiTheme="majorBidi" w:hAnsiTheme="majorBidi" w:cstheme="majorBidi"/>
          <w:rtl/>
          <w:lang w:bidi="ar-EG"/>
        </w:rPr>
        <w:t>ب</w:t>
      </w:r>
      <w:r w:rsidRPr="00DE4325">
        <w:rPr>
          <w:rFonts w:asciiTheme="majorBidi" w:hAnsiTheme="majorBidi" w:cstheme="majorBidi"/>
          <w:rtl/>
        </w:rPr>
        <w:t xml:space="preserve"> الخبيثة المتراكمه</w:t>
      </w:r>
      <w:r w:rsidRPr="00DE4325">
        <w:rPr>
          <w:rFonts w:asciiTheme="majorBidi" w:hAnsiTheme="majorBidi" w:cstheme="majorBidi"/>
        </w:rPr>
        <w:t>.</w:t>
      </w:r>
    </w:p>
    <w:p w:rsidR="000B30E0" w:rsidRPr="00DE4325" w:rsidRDefault="000B30E0" w:rsidP="00DE4325">
      <w:pPr>
        <w:tabs>
          <w:tab w:val="left" w:pos="9360"/>
        </w:tabs>
        <w:spacing w:after="0" w:line="240" w:lineRule="auto"/>
        <w:ind w:left="630"/>
        <w:rPr>
          <w:rFonts w:asciiTheme="majorBidi" w:hAnsiTheme="majorBidi" w:cstheme="majorBidi"/>
          <w:rtl/>
        </w:rPr>
      </w:pPr>
      <w:r w:rsidRPr="00DE4325">
        <w:rPr>
          <w:rFonts w:asciiTheme="majorBidi" w:hAnsiTheme="majorBidi" w:cstheme="majorBidi"/>
        </w:rPr>
        <w:t xml:space="preserve">     </w:t>
      </w:r>
      <w:r w:rsidRPr="00DE4325">
        <w:rPr>
          <w:rFonts w:asciiTheme="majorBidi" w:hAnsiTheme="majorBidi" w:cstheme="majorBidi"/>
          <w:rtl/>
          <w:lang w:bidi="ar-EG"/>
        </w:rPr>
        <w:t xml:space="preserve"> </w:t>
      </w:r>
      <w:r w:rsidRPr="00DE4325">
        <w:rPr>
          <w:rFonts w:asciiTheme="majorBidi" w:hAnsiTheme="majorBidi" w:cstheme="majorBidi" w:hint="cs"/>
          <w:rtl/>
          <w:lang w:bidi="ar-EG"/>
        </w:rPr>
        <w:t>كما</w:t>
      </w:r>
      <w:r w:rsidRPr="00DE4325">
        <w:rPr>
          <w:rFonts w:asciiTheme="majorBidi" w:hAnsiTheme="majorBidi" w:cstheme="majorBidi" w:hint="cs"/>
          <w:rtl/>
        </w:rPr>
        <w:t xml:space="preserve"> إ</w:t>
      </w:r>
      <w:r w:rsidRPr="00DE4325">
        <w:rPr>
          <w:rFonts w:asciiTheme="majorBidi" w:hAnsiTheme="majorBidi" w:cstheme="majorBidi"/>
          <w:rtl/>
        </w:rPr>
        <w:t xml:space="preserve">ن الخلايا الليمفاوية </w:t>
      </w:r>
      <w:r w:rsidRPr="00DE4325">
        <w:rPr>
          <w:rFonts w:asciiTheme="majorBidi" w:hAnsiTheme="majorBidi" w:cstheme="majorBidi"/>
          <w:rtl/>
          <w:lang w:bidi="ar-EG"/>
        </w:rPr>
        <w:t>التائيه تكون اقل انتشارا ونشاطا وبذلك تكون</w:t>
      </w:r>
      <w:r w:rsidRPr="00DE4325">
        <w:rPr>
          <w:rFonts w:asciiTheme="majorBidi" w:hAnsiTheme="majorBidi" w:cstheme="majorBidi" w:hint="cs"/>
          <w:rtl/>
          <w:lang w:bidi="ar-EG"/>
        </w:rPr>
        <w:t xml:space="preserve"> </w:t>
      </w:r>
      <w:r w:rsidRPr="00DE4325">
        <w:rPr>
          <w:rFonts w:asciiTheme="majorBidi" w:hAnsiTheme="majorBidi" w:cstheme="majorBidi"/>
          <w:rtl/>
          <w:lang w:bidi="ar-EG"/>
        </w:rPr>
        <w:t>غير قادرة ع</w:t>
      </w:r>
      <w:r w:rsidRPr="00DE4325">
        <w:rPr>
          <w:rFonts w:asciiTheme="majorBidi" w:hAnsiTheme="majorBidi" w:cstheme="majorBidi" w:hint="cs"/>
          <w:rtl/>
          <w:lang w:bidi="ar-EG"/>
        </w:rPr>
        <w:t xml:space="preserve">لي </w:t>
      </w:r>
      <w:r w:rsidRPr="00DE4325">
        <w:rPr>
          <w:rFonts w:asciiTheme="majorBidi" w:hAnsiTheme="majorBidi" w:cstheme="majorBidi"/>
          <w:rtl/>
          <w:lang w:bidi="ar-EG"/>
        </w:rPr>
        <w:t>تحفيزالخلايا الليمف</w:t>
      </w:r>
      <w:r w:rsidRPr="00DE4325">
        <w:rPr>
          <w:rFonts w:asciiTheme="majorBidi" w:hAnsiTheme="majorBidi" w:cstheme="majorBidi" w:hint="cs"/>
          <w:rtl/>
          <w:lang w:bidi="ar-EG"/>
        </w:rPr>
        <w:t>او</w:t>
      </w:r>
      <w:r w:rsidRPr="00DE4325">
        <w:rPr>
          <w:rFonts w:asciiTheme="majorBidi" w:hAnsiTheme="majorBidi" w:cstheme="majorBidi"/>
          <w:rtl/>
          <w:lang w:bidi="ar-EG"/>
        </w:rPr>
        <w:t>ي</w:t>
      </w:r>
      <w:r w:rsidRPr="00DE4325">
        <w:rPr>
          <w:rFonts w:asciiTheme="majorBidi" w:hAnsiTheme="majorBidi" w:cstheme="majorBidi" w:hint="cs"/>
          <w:rtl/>
          <w:lang w:bidi="ar-EG"/>
        </w:rPr>
        <w:t>ة</w:t>
      </w:r>
      <w:r w:rsidRPr="00DE4325">
        <w:rPr>
          <w:rFonts w:asciiTheme="majorBidi" w:hAnsiTheme="majorBidi" w:cstheme="majorBidi"/>
          <w:rtl/>
          <w:lang w:bidi="ar-EG"/>
        </w:rPr>
        <w:t xml:space="preserve"> –</w:t>
      </w:r>
      <w:r w:rsidR="00CF317C" w:rsidRPr="00DE4325">
        <w:rPr>
          <w:rFonts w:asciiTheme="majorBidi" w:hAnsiTheme="majorBidi" w:cstheme="majorBidi"/>
          <w:lang w:bidi="ar-EG"/>
        </w:rPr>
        <w:t xml:space="preserve"> </w:t>
      </w:r>
      <w:r w:rsidRPr="00DE4325">
        <w:rPr>
          <w:rFonts w:asciiTheme="majorBidi" w:hAnsiTheme="majorBidi" w:cstheme="majorBidi"/>
          <w:rtl/>
          <w:lang w:bidi="ar-EG"/>
        </w:rPr>
        <w:t>ب لانتاج الاجسام المضاده</w:t>
      </w:r>
      <w:r w:rsidRPr="00DE4325">
        <w:rPr>
          <w:rFonts w:asciiTheme="majorBidi" w:hAnsiTheme="majorBidi" w:cstheme="majorBidi"/>
          <w:rtl/>
        </w:rPr>
        <w:t>.</w:t>
      </w:r>
    </w:p>
    <w:p w:rsidR="000B30E0" w:rsidRPr="00DE4325" w:rsidRDefault="000B30E0" w:rsidP="00DE4325">
      <w:pPr>
        <w:tabs>
          <w:tab w:val="left" w:pos="9360"/>
        </w:tabs>
        <w:spacing w:after="0" w:line="240" w:lineRule="auto"/>
        <w:ind w:left="630"/>
        <w:rPr>
          <w:rFonts w:asciiTheme="majorBidi" w:hAnsiTheme="majorBidi" w:cstheme="majorBidi"/>
          <w:rtl/>
          <w:lang w:bidi="ar-EG"/>
        </w:rPr>
      </w:pPr>
      <w:r w:rsidRPr="00DE4325">
        <w:rPr>
          <w:rFonts w:asciiTheme="majorBidi" w:hAnsiTheme="majorBidi" w:cstheme="majorBidi"/>
          <w:rtl/>
          <w:lang w:bidi="ar-EG"/>
        </w:rPr>
        <w:t xml:space="preserve">      جزيء سي دي-</w:t>
      </w:r>
      <w:r w:rsidR="00CF317C" w:rsidRPr="00DE4325">
        <w:rPr>
          <w:rFonts w:asciiTheme="majorBidi" w:hAnsiTheme="majorBidi" w:cstheme="majorBidi"/>
          <w:rtl/>
          <w:lang w:bidi="ar-EG"/>
        </w:rPr>
        <w:t>٣٩</w:t>
      </w:r>
      <w:r w:rsidRPr="00DE4325">
        <w:rPr>
          <w:rFonts w:asciiTheme="majorBidi" w:hAnsiTheme="majorBidi" w:cstheme="majorBidi"/>
          <w:rtl/>
          <w:lang w:bidi="ar-EG"/>
        </w:rPr>
        <w:t>هو جزيء يوجد علي</w:t>
      </w:r>
      <w:r w:rsidRPr="00DE4325">
        <w:rPr>
          <w:rFonts w:asciiTheme="majorBidi" w:hAnsiTheme="majorBidi" w:cstheme="majorBidi"/>
        </w:rPr>
        <w:t xml:space="preserve"> </w:t>
      </w:r>
      <w:r w:rsidRPr="00DE4325">
        <w:rPr>
          <w:rFonts w:asciiTheme="majorBidi" w:hAnsiTheme="majorBidi" w:cstheme="majorBidi"/>
          <w:rtl/>
        </w:rPr>
        <w:t xml:space="preserve"> سطح الخلايا البطانية، الخلايا الليمفاوية الطبيعية، وكريات الدم البيضاء الأخرى</w:t>
      </w:r>
    </w:p>
    <w:p w:rsidR="000B30E0" w:rsidRPr="00DE4325" w:rsidRDefault="000B30E0" w:rsidP="00DE4325">
      <w:pPr>
        <w:tabs>
          <w:tab w:val="left" w:pos="9360"/>
        </w:tabs>
        <w:spacing w:after="0" w:line="240" w:lineRule="auto"/>
        <w:ind w:left="630"/>
        <w:rPr>
          <w:rFonts w:asciiTheme="majorBidi" w:hAnsiTheme="majorBidi" w:cstheme="majorBidi"/>
          <w:rtl/>
          <w:lang w:bidi="ar-EG"/>
        </w:rPr>
      </w:pPr>
      <w:r w:rsidRPr="00DE4325">
        <w:rPr>
          <w:rFonts w:asciiTheme="majorBidi" w:hAnsiTheme="majorBidi" w:cstheme="majorBidi"/>
          <w:rtl/>
          <w:lang w:bidi="ar-EG"/>
        </w:rPr>
        <w:t xml:space="preserve">      </w:t>
      </w:r>
      <w:r w:rsidRPr="00DE4325">
        <w:rPr>
          <w:rFonts w:asciiTheme="majorBidi" w:hAnsiTheme="majorBidi" w:cstheme="majorBidi"/>
          <w:rtl/>
        </w:rPr>
        <w:t>وظيفة سي دي-</w:t>
      </w:r>
      <w:r w:rsidR="00CF317C" w:rsidRPr="00DE4325">
        <w:rPr>
          <w:rFonts w:asciiTheme="majorBidi" w:hAnsiTheme="majorBidi" w:cstheme="majorBidi"/>
          <w:rtl/>
        </w:rPr>
        <w:t>٣٩</w:t>
      </w:r>
      <w:r w:rsidR="00CF317C" w:rsidRPr="00DE4325">
        <w:rPr>
          <w:rFonts w:asciiTheme="majorBidi" w:hAnsiTheme="majorBidi" w:cstheme="majorBidi"/>
        </w:rPr>
        <w:t xml:space="preserve"> </w:t>
      </w:r>
      <w:r w:rsidRPr="00DE4325">
        <w:rPr>
          <w:rFonts w:asciiTheme="majorBidi" w:hAnsiTheme="majorBidi" w:cstheme="majorBidi"/>
          <w:rtl/>
        </w:rPr>
        <w:t xml:space="preserve">الرئيسية على سطح الخلية البطانية هو تقليل تنشيط الصفائح الدمويه عن طريق تكسير أدينوسين ثنائي الفوسفات في كرات الدم البيضاء الانزيم </w:t>
      </w:r>
      <w:r w:rsidRPr="00DE4325">
        <w:rPr>
          <w:rFonts w:asciiTheme="majorBidi" w:hAnsiTheme="majorBidi" w:cstheme="majorBidi" w:hint="cs"/>
          <w:rtl/>
        </w:rPr>
        <w:t xml:space="preserve">الذي </w:t>
      </w:r>
      <w:r w:rsidRPr="00DE4325">
        <w:rPr>
          <w:rFonts w:asciiTheme="majorBidi" w:hAnsiTheme="majorBidi" w:cstheme="majorBidi"/>
          <w:rtl/>
        </w:rPr>
        <w:t xml:space="preserve">لديه العديد من الآثار المباشرة و </w:t>
      </w:r>
      <w:r w:rsidRPr="00DE4325">
        <w:rPr>
          <w:rFonts w:asciiTheme="majorBidi" w:hAnsiTheme="majorBidi" w:cstheme="majorBidi" w:hint="cs"/>
          <w:rtl/>
        </w:rPr>
        <w:t>ال</w:t>
      </w:r>
      <w:r w:rsidRPr="00DE4325">
        <w:rPr>
          <w:rFonts w:asciiTheme="majorBidi" w:hAnsiTheme="majorBidi" w:cstheme="majorBidi"/>
          <w:rtl/>
        </w:rPr>
        <w:t xml:space="preserve">غير مباشرة ، بما في ذلك تعديل التعبير </w:t>
      </w:r>
      <w:r w:rsidRPr="00DE4325">
        <w:rPr>
          <w:rFonts w:asciiTheme="majorBidi" w:hAnsiTheme="majorBidi" w:cstheme="majorBidi" w:hint="cs"/>
          <w:rtl/>
        </w:rPr>
        <w:t>ال</w:t>
      </w:r>
      <w:r w:rsidRPr="00DE4325">
        <w:rPr>
          <w:rFonts w:asciiTheme="majorBidi" w:hAnsiTheme="majorBidi" w:cstheme="majorBidi"/>
          <w:rtl/>
        </w:rPr>
        <w:t>خلوى والاستجابة الالتهابية .</w:t>
      </w:r>
    </w:p>
    <w:p w:rsidR="000B30E0" w:rsidRPr="00DE4325" w:rsidRDefault="000B30E0" w:rsidP="00DE4325">
      <w:pPr>
        <w:tabs>
          <w:tab w:val="left" w:pos="9360"/>
        </w:tabs>
        <w:spacing w:after="0" w:line="240" w:lineRule="auto"/>
        <w:ind w:left="630"/>
        <w:rPr>
          <w:rFonts w:asciiTheme="majorBidi" w:hAnsiTheme="majorBidi" w:cstheme="majorBidi"/>
          <w:lang w:bidi="ar-EG"/>
        </w:rPr>
      </w:pPr>
      <w:r w:rsidRPr="00DE4325">
        <w:rPr>
          <w:rFonts w:asciiTheme="majorBidi" w:hAnsiTheme="majorBidi" w:cstheme="majorBidi"/>
          <w:rtl/>
          <w:lang w:bidi="ar-EG"/>
        </w:rPr>
        <w:t xml:space="preserve">       يوجد سي دي-</w:t>
      </w:r>
      <w:r w:rsidR="00CF317C" w:rsidRPr="00DE4325">
        <w:rPr>
          <w:rFonts w:asciiTheme="majorBidi" w:hAnsiTheme="majorBidi" w:cstheme="majorBidi"/>
          <w:rtl/>
          <w:lang w:bidi="ar-EG"/>
        </w:rPr>
        <w:t>٣٩</w:t>
      </w:r>
      <w:r w:rsidR="00CF317C" w:rsidRPr="00DE4325">
        <w:rPr>
          <w:rFonts w:asciiTheme="majorBidi" w:hAnsiTheme="majorBidi" w:cstheme="majorBidi"/>
          <w:lang w:bidi="ar-EG"/>
        </w:rPr>
        <w:t xml:space="preserve"> </w:t>
      </w:r>
      <w:r w:rsidRPr="00DE4325">
        <w:rPr>
          <w:rFonts w:asciiTheme="majorBidi" w:hAnsiTheme="majorBidi" w:cstheme="majorBidi"/>
          <w:rtl/>
          <w:lang w:bidi="ar-EG"/>
        </w:rPr>
        <w:t xml:space="preserve">في الاشخاص الذين لا يعانون من هذا المرض بنسبة </w:t>
      </w:r>
      <w:r w:rsidR="00CF317C" w:rsidRPr="00DE4325">
        <w:rPr>
          <w:rFonts w:asciiTheme="majorBidi" w:hAnsiTheme="majorBidi" w:cstheme="majorBidi"/>
          <w:rtl/>
          <w:lang w:bidi="ar-EG"/>
        </w:rPr>
        <w:t>٦</w:t>
      </w:r>
      <w:r w:rsidRPr="00DE4325">
        <w:rPr>
          <w:rFonts w:asciiTheme="majorBidi" w:hAnsiTheme="majorBidi" w:cstheme="majorBidi"/>
          <w:rtl/>
          <w:lang w:bidi="ar-EG"/>
        </w:rPr>
        <w:t>-</w:t>
      </w:r>
      <w:r w:rsidR="00F167E4" w:rsidRPr="00DE4325">
        <w:rPr>
          <w:rFonts w:asciiTheme="majorBidi" w:hAnsiTheme="majorBidi" w:cstheme="majorBidi"/>
          <w:lang w:bidi="ar-EG"/>
        </w:rPr>
        <w:t xml:space="preserve"> </w:t>
      </w:r>
      <w:r w:rsidR="00CF317C" w:rsidRPr="00DE4325">
        <w:rPr>
          <w:rFonts w:asciiTheme="majorBidi" w:hAnsiTheme="majorBidi" w:cstheme="majorBidi"/>
          <w:rtl/>
          <w:lang w:bidi="ar-EG"/>
        </w:rPr>
        <w:t>٨</w:t>
      </w:r>
      <w:r w:rsidR="00F167E4" w:rsidRPr="00DE4325">
        <w:rPr>
          <w:rFonts w:asciiTheme="majorBidi" w:hAnsiTheme="majorBidi" w:cstheme="majorBidi"/>
          <w:lang w:bidi="ar-EG"/>
        </w:rPr>
        <w:t xml:space="preserve"> </w:t>
      </w:r>
      <w:r w:rsidRPr="00DE4325">
        <w:rPr>
          <w:rFonts w:asciiTheme="majorBidi" w:hAnsiTheme="majorBidi" w:cstheme="majorBidi" w:hint="cs"/>
          <w:rtl/>
          <w:lang w:bidi="ar-EG"/>
        </w:rPr>
        <w:t>%</w:t>
      </w:r>
      <w:r w:rsidRPr="00DE4325">
        <w:rPr>
          <w:rFonts w:asciiTheme="majorBidi" w:hAnsiTheme="majorBidi" w:cstheme="majorBidi"/>
          <w:rtl/>
          <w:lang w:bidi="ar-EG"/>
        </w:rPr>
        <w:t>علي الخلايا التائي</w:t>
      </w:r>
      <w:r w:rsidRPr="00DE4325">
        <w:rPr>
          <w:rFonts w:asciiTheme="majorBidi" w:hAnsiTheme="majorBidi" w:cstheme="majorBidi" w:hint="cs"/>
          <w:rtl/>
          <w:lang w:bidi="ar-EG"/>
        </w:rPr>
        <w:t>ة</w:t>
      </w:r>
      <w:r w:rsidRPr="00DE4325">
        <w:rPr>
          <w:rFonts w:asciiTheme="majorBidi" w:hAnsiTheme="majorBidi" w:cstheme="majorBidi"/>
          <w:rtl/>
          <w:lang w:bidi="ar-EG"/>
        </w:rPr>
        <w:t xml:space="preserve"> بينما يوجد علي اغلب الخلايا الليمف</w:t>
      </w:r>
      <w:r w:rsidRPr="00DE4325">
        <w:rPr>
          <w:rFonts w:asciiTheme="majorBidi" w:hAnsiTheme="majorBidi" w:cstheme="majorBidi" w:hint="cs"/>
          <w:rtl/>
          <w:lang w:bidi="ar-EG"/>
        </w:rPr>
        <w:t>او</w:t>
      </w:r>
      <w:r w:rsidRPr="00DE4325">
        <w:rPr>
          <w:rFonts w:asciiTheme="majorBidi" w:hAnsiTheme="majorBidi" w:cstheme="majorBidi"/>
          <w:rtl/>
          <w:lang w:bidi="ar-EG"/>
        </w:rPr>
        <w:t>ي</w:t>
      </w:r>
      <w:r w:rsidRPr="00DE4325">
        <w:rPr>
          <w:rFonts w:asciiTheme="majorBidi" w:hAnsiTheme="majorBidi" w:cstheme="majorBidi" w:hint="cs"/>
          <w:rtl/>
          <w:lang w:bidi="ar-EG"/>
        </w:rPr>
        <w:t>ة</w:t>
      </w:r>
      <w:r w:rsidRPr="00DE4325">
        <w:rPr>
          <w:rFonts w:asciiTheme="majorBidi" w:hAnsiTheme="majorBidi" w:cstheme="majorBidi"/>
          <w:rtl/>
          <w:lang w:bidi="ar-EG"/>
        </w:rPr>
        <w:t xml:space="preserve"> –</w:t>
      </w:r>
      <w:r w:rsidRPr="00DE4325">
        <w:rPr>
          <w:rFonts w:asciiTheme="majorBidi" w:hAnsiTheme="majorBidi" w:cstheme="majorBidi" w:hint="cs"/>
          <w:rtl/>
          <w:lang w:bidi="ar-EG"/>
        </w:rPr>
        <w:t xml:space="preserve"> </w:t>
      </w:r>
      <w:r w:rsidRPr="00DE4325">
        <w:rPr>
          <w:rFonts w:asciiTheme="majorBidi" w:hAnsiTheme="majorBidi" w:cstheme="majorBidi"/>
          <w:rtl/>
          <w:lang w:bidi="ar-EG"/>
        </w:rPr>
        <w:t>ب</w:t>
      </w:r>
      <w:r w:rsidRPr="00DE4325">
        <w:rPr>
          <w:rFonts w:asciiTheme="majorBidi" w:hAnsiTheme="majorBidi" w:cstheme="majorBidi"/>
          <w:lang w:bidi="ar-EG"/>
        </w:rPr>
        <w:t>.</w:t>
      </w:r>
    </w:p>
    <w:p w:rsidR="000B30E0" w:rsidRPr="00DE4325" w:rsidRDefault="000B30E0" w:rsidP="00DE4325">
      <w:pPr>
        <w:tabs>
          <w:tab w:val="left" w:pos="9360"/>
        </w:tabs>
        <w:spacing w:after="0" w:line="240" w:lineRule="auto"/>
        <w:ind w:left="630"/>
        <w:rPr>
          <w:rFonts w:asciiTheme="majorBidi" w:hAnsiTheme="majorBidi" w:cstheme="majorBidi"/>
          <w:lang w:bidi="ar-EG"/>
        </w:rPr>
      </w:pPr>
      <w:r w:rsidRPr="00DE4325">
        <w:rPr>
          <w:rFonts w:asciiTheme="majorBidi" w:hAnsiTheme="majorBidi" w:cstheme="majorBidi"/>
          <w:rtl/>
          <w:lang w:bidi="ar-EG"/>
        </w:rPr>
        <w:t xml:space="preserve">      جزيء سي دي-</w:t>
      </w:r>
      <w:r w:rsidR="00CF317C" w:rsidRPr="00DE4325">
        <w:rPr>
          <w:rFonts w:asciiTheme="majorBidi" w:hAnsiTheme="majorBidi" w:cstheme="majorBidi"/>
          <w:rtl/>
          <w:lang w:bidi="ar-EG"/>
        </w:rPr>
        <w:t>٣٩</w:t>
      </w:r>
      <w:r w:rsidR="00CF317C" w:rsidRPr="00DE4325">
        <w:rPr>
          <w:rFonts w:asciiTheme="majorBidi" w:hAnsiTheme="majorBidi" w:cstheme="majorBidi"/>
          <w:lang w:bidi="ar-EG"/>
        </w:rPr>
        <w:t xml:space="preserve"> </w:t>
      </w:r>
      <w:r w:rsidRPr="00DE4325">
        <w:rPr>
          <w:rFonts w:asciiTheme="majorBidi" w:hAnsiTheme="majorBidi" w:cstheme="majorBidi"/>
          <w:rtl/>
          <w:lang w:bidi="ar-EG"/>
        </w:rPr>
        <w:t>يوجد بنسبة اعلي علي الخلايا التائي</w:t>
      </w:r>
      <w:r w:rsidRPr="00DE4325">
        <w:rPr>
          <w:rFonts w:asciiTheme="majorBidi" w:hAnsiTheme="majorBidi" w:cstheme="majorBidi" w:hint="cs"/>
          <w:rtl/>
          <w:lang w:bidi="ar-EG"/>
        </w:rPr>
        <w:t>ة</w:t>
      </w:r>
      <w:r w:rsidRPr="00DE4325">
        <w:rPr>
          <w:rFonts w:asciiTheme="majorBidi" w:hAnsiTheme="majorBidi" w:cstheme="majorBidi"/>
          <w:rtl/>
          <w:lang w:bidi="ar-EG"/>
        </w:rPr>
        <w:t xml:space="preserve"> النشطه والخلايا الزاكرة عن الخلايا الليمف</w:t>
      </w:r>
      <w:r w:rsidRPr="00DE4325">
        <w:rPr>
          <w:rFonts w:asciiTheme="majorBidi" w:hAnsiTheme="majorBidi" w:cstheme="majorBidi" w:hint="cs"/>
          <w:rtl/>
          <w:lang w:bidi="ar-EG"/>
        </w:rPr>
        <w:t>او</w:t>
      </w:r>
      <w:r w:rsidRPr="00DE4325">
        <w:rPr>
          <w:rFonts w:asciiTheme="majorBidi" w:hAnsiTheme="majorBidi" w:cstheme="majorBidi"/>
          <w:rtl/>
          <w:lang w:bidi="ar-EG"/>
        </w:rPr>
        <w:t>ي</w:t>
      </w:r>
      <w:r w:rsidRPr="00DE4325">
        <w:rPr>
          <w:rFonts w:asciiTheme="majorBidi" w:hAnsiTheme="majorBidi" w:cstheme="majorBidi" w:hint="cs"/>
          <w:rtl/>
          <w:lang w:bidi="ar-EG"/>
        </w:rPr>
        <w:t>ة</w:t>
      </w:r>
      <w:r w:rsidRPr="00DE4325">
        <w:rPr>
          <w:rFonts w:asciiTheme="majorBidi" w:hAnsiTheme="majorBidi" w:cstheme="majorBidi"/>
          <w:rtl/>
          <w:lang w:bidi="ar-EG"/>
        </w:rPr>
        <w:t xml:space="preserve"> الساذج</w:t>
      </w:r>
      <w:r w:rsidRPr="00DE4325">
        <w:rPr>
          <w:rFonts w:asciiTheme="majorBidi" w:hAnsiTheme="majorBidi" w:cstheme="majorBidi" w:hint="cs"/>
          <w:rtl/>
          <w:lang w:bidi="ar-EG"/>
        </w:rPr>
        <w:t>ة</w:t>
      </w:r>
      <w:r w:rsidRPr="00DE4325">
        <w:rPr>
          <w:rFonts w:asciiTheme="majorBidi" w:hAnsiTheme="majorBidi" w:cstheme="majorBidi"/>
          <w:lang w:bidi="ar-EG"/>
        </w:rPr>
        <w:t>,</w:t>
      </w:r>
      <w:r w:rsidRPr="00DE4325">
        <w:rPr>
          <w:rFonts w:asciiTheme="majorBidi" w:hAnsiTheme="majorBidi" w:cstheme="majorBidi"/>
          <w:rtl/>
          <w:lang w:bidi="ar-EG"/>
        </w:rPr>
        <w:t xml:space="preserve">  كما وجد ارتفاع في نسبة سي دي-</w:t>
      </w:r>
      <w:r w:rsidR="00F167E4" w:rsidRPr="00DE4325">
        <w:rPr>
          <w:rFonts w:asciiTheme="majorBidi" w:hAnsiTheme="majorBidi" w:cstheme="majorBidi"/>
          <w:rtl/>
          <w:lang w:bidi="ar-EG"/>
        </w:rPr>
        <w:t>٣٩</w:t>
      </w:r>
      <w:r w:rsidRPr="00DE4325">
        <w:rPr>
          <w:rFonts w:asciiTheme="majorBidi" w:hAnsiTheme="majorBidi" w:cstheme="majorBidi"/>
          <w:rtl/>
          <w:lang w:bidi="ar-EG"/>
        </w:rPr>
        <w:t xml:space="preserve">في العديد من امراض الدم من ضمنها سرطان الدم </w:t>
      </w:r>
      <w:r w:rsidRPr="00DE4325">
        <w:rPr>
          <w:rFonts w:asciiTheme="majorBidi" w:hAnsiTheme="majorBidi" w:cstheme="majorBidi" w:hint="cs"/>
          <w:rtl/>
          <w:lang w:bidi="ar-EG"/>
        </w:rPr>
        <w:t>وسرطان الغدد الليمفاوية</w:t>
      </w:r>
      <w:r w:rsidRPr="00DE4325">
        <w:rPr>
          <w:rFonts w:asciiTheme="majorBidi" w:hAnsiTheme="majorBidi" w:cstheme="majorBidi"/>
          <w:lang w:bidi="ar-EG"/>
        </w:rPr>
        <w:t>.</w:t>
      </w:r>
    </w:p>
    <w:p w:rsidR="000B30E0" w:rsidRPr="00DE4325" w:rsidRDefault="000B30E0" w:rsidP="00DE4325">
      <w:pPr>
        <w:tabs>
          <w:tab w:val="left" w:pos="9360"/>
        </w:tabs>
        <w:spacing w:after="0" w:line="240" w:lineRule="auto"/>
        <w:ind w:left="630"/>
        <w:rPr>
          <w:rFonts w:asciiTheme="majorBidi" w:hAnsiTheme="majorBidi" w:cstheme="majorBidi"/>
          <w:rtl/>
          <w:lang w:bidi="ar-EG"/>
        </w:rPr>
      </w:pPr>
      <w:r w:rsidRPr="00DE4325">
        <w:rPr>
          <w:rFonts w:asciiTheme="majorBidi" w:hAnsiTheme="majorBidi" w:cstheme="majorBidi" w:hint="cs"/>
          <w:b/>
          <w:bCs/>
          <w:u w:val="single"/>
          <w:rtl/>
        </w:rPr>
        <w:t>الخاتمه</w:t>
      </w:r>
      <w:r w:rsidRPr="00DE4325">
        <w:rPr>
          <w:rFonts w:asciiTheme="majorBidi" w:hAnsiTheme="majorBidi" w:cstheme="majorBidi"/>
          <w:b/>
          <w:bCs/>
          <w:u w:val="single"/>
          <w:rtl/>
        </w:rPr>
        <w:t>:</w:t>
      </w:r>
    </w:p>
    <w:p w:rsidR="000B30E0" w:rsidRPr="00DE4325" w:rsidRDefault="000B30E0" w:rsidP="004C67C2">
      <w:pPr>
        <w:tabs>
          <w:tab w:val="left" w:pos="9360"/>
        </w:tabs>
        <w:spacing w:after="0" w:line="240" w:lineRule="auto"/>
        <w:ind w:left="630"/>
        <w:rPr>
          <w:rFonts w:asciiTheme="majorBidi" w:hAnsiTheme="majorBidi" w:cstheme="majorBidi"/>
          <w:rtl/>
        </w:rPr>
      </w:pPr>
      <w:r w:rsidRPr="00DE4325">
        <w:rPr>
          <w:rFonts w:asciiTheme="majorBidi" w:hAnsiTheme="majorBidi" w:cstheme="majorBidi" w:hint="cs"/>
          <w:rtl/>
        </w:rPr>
        <w:t xml:space="preserve">      </w:t>
      </w:r>
      <w:r w:rsidRPr="00DE4325">
        <w:rPr>
          <w:rFonts w:asciiTheme="majorBidi" w:hAnsiTheme="majorBidi" w:cstheme="majorBidi"/>
          <w:rtl/>
        </w:rPr>
        <w:t>سي دي-</w:t>
      </w:r>
      <w:r w:rsidR="00F167E4" w:rsidRPr="00DE4325">
        <w:rPr>
          <w:rFonts w:asciiTheme="majorBidi" w:hAnsiTheme="majorBidi" w:cstheme="majorBidi"/>
          <w:rtl/>
        </w:rPr>
        <w:t>٣٩</w:t>
      </w:r>
      <w:r w:rsidR="00F167E4" w:rsidRPr="00DE4325">
        <w:rPr>
          <w:rFonts w:asciiTheme="majorBidi" w:hAnsiTheme="majorBidi" w:cstheme="majorBidi"/>
        </w:rPr>
        <w:t xml:space="preserve"> </w:t>
      </w:r>
      <w:r w:rsidRPr="00DE4325">
        <w:rPr>
          <w:rFonts w:asciiTheme="majorBidi" w:hAnsiTheme="majorBidi" w:cstheme="majorBidi" w:hint="cs"/>
          <w:rtl/>
        </w:rPr>
        <w:t xml:space="preserve">يساعد في </w:t>
      </w:r>
      <w:r w:rsidRPr="00DE4325">
        <w:rPr>
          <w:rFonts w:asciiTheme="majorBidi" w:hAnsiTheme="majorBidi" w:cstheme="majorBidi"/>
          <w:rtl/>
        </w:rPr>
        <w:t xml:space="preserve"> تشخيص مرض سرطان الخلايا الليمفاويه المزمن ومدي</w:t>
      </w:r>
      <w:r w:rsidRPr="00DE4325">
        <w:rPr>
          <w:rFonts w:asciiTheme="majorBidi" w:hAnsiTheme="majorBidi" w:cstheme="majorBidi" w:hint="cs"/>
          <w:rtl/>
        </w:rPr>
        <w:t xml:space="preserve"> </w:t>
      </w:r>
      <w:r w:rsidRPr="00DE4325">
        <w:rPr>
          <w:rFonts w:asciiTheme="majorBidi" w:hAnsiTheme="majorBidi" w:cstheme="majorBidi"/>
          <w:rtl/>
        </w:rPr>
        <w:t>شدة المرض</w:t>
      </w:r>
      <w:r w:rsidRPr="00DE4325">
        <w:rPr>
          <w:rFonts w:asciiTheme="majorBidi" w:hAnsiTheme="majorBidi" w:cstheme="majorBidi" w:hint="cs"/>
          <w:rtl/>
        </w:rPr>
        <w:t xml:space="preserve"> </w:t>
      </w:r>
      <w:r w:rsidRPr="00DE4325">
        <w:rPr>
          <w:rFonts w:asciiTheme="majorBidi" w:hAnsiTheme="majorBidi" w:cstheme="majorBidi"/>
          <w:rtl/>
        </w:rPr>
        <w:t>.</w:t>
      </w:r>
    </w:p>
    <w:sectPr w:rsidR="000B30E0" w:rsidRPr="00DE4325" w:rsidSect="007B4C14">
      <w:type w:val="continuous"/>
      <w:pgSz w:w="12240" w:h="15840"/>
      <w:pgMar w:top="1440" w:right="189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06D" w:rsidRDefault="0072706D" w:rsidP="009175C7">
      <w:pPr>
        <w:spacing w:after="0" w:line="240" w:lineRule="auto"/>
      </w:pPr>
      <w:r>
        <w:separator/>
      </w:r>
    </w:p>
  </w:endnote>
  <w:endnote w:type="continuationSeparator" w:id="1">
    <w:p w:rsidR="0072706D" w:rsidRDefault="0072706D" w:rsidP="00917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NwwxrjAdvTT3713a231+2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06D" w:rsidRDefault="0072706D" w:rsidP="009175C7">
      <w:pPr>
        <w:spacing w:after="0" w:line="240" w:lineRule="auto"/>
      </w:pPr>
      <w:r>
        <w:separator/>
      </w:r>
    </w:p>
  </w:footnote>
  <w:footnote w:type="continuationSeparator" w:id="1">
    <w:p w:rsidR="0072706D" w:rsidRDefault="0072706D" w:rsidP="009175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CA0" w:rsidRPr="00F06A48" w:rsidRDefault="008C2CA0" w:rsidP="00F06A48">
    <w:pPr>
      <w:shd w:val="clear" w:color="auto" w:fill="FFFFFF"/>
      <w:tabs>
        <w:tab w:val="left" w:pos="3165"/>
        <w:tab w:val="center" w:pos="4469"/>
        <w:tab w:val="right" w:pos="8364"/>
      </w:tabs>
      <w:bidi w:val="0"/>
      <w:spacing w:after="0" w:line="240" w:lineRule="auto"/>
      <w:ind w:left="28"/>
      <w:jc w:val="center"/>
      <w:rPr>
        <w:rFonts w:asciiTheme="majorBidi" w:hAnsiTheme="majorBidi" w:cstheme="majorBidi"/>
        <w:b/>
        <w:bCs/>
        <w:sz w:val="20"/>
        <w:szCs w:val="20"/>
      </w:rPr>
    </w:pPr>
    <w:r w:rsidRPr="00F06A48">
      <w:rPr>
        <w:rFonts w:asciiTheme="majorBidi" w:hAnsiTheme="majorBidi" w:cstheme="majorBidi"/>
        <w:b/>
        <w:bCs/>
        <w:sz w:val="20"/>
        <w:szCs w:val="20"/>
      </w:rPr>
      <w:t>SOHAG MEDICAL JOURNAL</w:t>
    </w:r>
  </w:p>
  <w:p w:rsidR="00F06A48" w:rsidRPr="00581351" w:rsidRDefault="00F06A48" w:rsidP="00F06A48">
    <w:pPr>
      <w:pBdr>
        <w:bottom w:val="double" w:sz="6" w:space="1" w:color="auto"/>
      </w:pBdr>
      <w:shd w:val="clear" w:color="auto" w:fill="FFFFFF"/>
      <w:tabs>
        <w:tab w:val="right" w:pos="5812"/>
        <w:tab w:val="right" w:pos="6237"/>
        <w:tab w:val="right" w:pos="6521"/>
        <w:tab w:val="right" w:pos="6946"/>
        <w:tab w:val="right" w:pos="7230"/>
        <w:tab w:val="right" w:pos="8364"/>
      </w:tabs>
      <w:bidi w:val="0"/>
      <w:spacing w:after="0" w:line="240" w:lineRule="auto"/>
      <w:ind w:left="28"/>
      <w:jc w:val="center"/>
      <w:rPr>
        <w:b/>
        <w:bCs/>
      </w:rPr>
    </w:pPr>
    <w:r w:rsidRPr="00F06A48">
      <w:rPr>
        <w:rFonts w:asciiTheme="majorBidi" w:hAnsiTheme="majorBidi" w:cstheme="majorBidi"/>
        <w:b/>
        <w:bCs/>
      </w:rPr>
      <w:t>Vol. 22 No. 2 july</w:t>
    </w:r>
    <w:r w:rsidRPr="00581351">
      <w:rPr>
        <w:b/>
        <w:bCs/>
      </w:rPr>
      <w:t xml:space="preserve"> 2018</w:t>
    </w:r>
  </w:p>
  <w:p w:rsidR="003C0589" w:rsidRPr="008C2CA0" w:rsidRDefault="003C0589" w:rsidP="00F06A48">
    <w:pPr>
      <w:pStyle w:val="Header"/>
      <w:tabs>
        <w:tab w:val="clear" w:pos="4153"/>
        <w:tab w:val="clear" w:pos="8306"/>
        <w:tab w:val="left" w:pos="5160"/>
      </w:tabs>
      <w:rPr>
        <w:lang w:bidi="ar-E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A48" w:rsidRPr="000D56B0" w:rsidRDefault="00F06A48" w:rsidP="00F06A48">
    <w:pPr>
      <w:autoSpaceDE w:val="0"/>
      <w:autoSpaceDN w:val="0"/>
      <w:bidi w:val="0"/>
      <w:adjustRightInd w:val="0"/>
      <w:spacing w:after="0" w:line="240" w:lineRule="auto"/>
      <w:ind w:right="-483"/>
      <w:rPr>
        <w:rFonts w:ascii="AGaramond-Regular" w:hAnsi="AGaramond-Regular" w:cs="AGaramond-Regular"/>
        <w:b/>
        <w:bCs/>
        <w:sz w:val="24"/>
        <w:szCs w:val="24"/>
      </w:rPr>
    </w:pPr>
    <w:r w:rsidRPr="00F06A48">
      <w:rPr>
        <w:rFonts w:asciiTheme="majorBidi" w:hAnsiTheme="majorBidi" w:cstheme="majorBidi"/>
        <w:b/>
        <w:bCs/>
        <w:sz w:val="20"/>
        <w:szCs w:val="20"/>
      </w:rPr>
      <w:t>SOHAG MEDICAL JOURNAL</w:t>
    </w:r>
    <w:r>
      <w:rPr>
        <w:rFonts w:asciiTheme="majorBidi" w:hAnsiTheme="majorBidi" w:cstheme="majorBidi"/>
        <w:b/>
        <w:bCs/>
        <w:sz w:val="20"/>
        <w:szCs w:val="20"/>
      </w:rPr>
      <w:t xml:space="preserve">  </w:t>
    </w:r>
    <w:r w:rsidRPr="00F06A48">
      <w:rPr>
        <w:rFonts w:asciiTheme="majorBidi" w:hAnsiTheme="majorBidi" w:cstheme="majorBidi"/>
        <w:b/>
        <w:bCs/>
        <w:sz w:val="20"/>
        <w:szCs w:val="20"/>
      </w:rPr>
      <w:t>CD39 Expression on T Lymphocytes Correlates With Severity</w:t>
    </w:r>
  </w:p>
  <w:p w:rsidR="00F06A48" w:rsidRPr="00581351" w:rsidRDefault="00F06A48" w:rsidP="00F06A48">
    <w:pPr>
      <w:pBdr>
        <w:bottom w:val="double" w:sz="6" w:space="1" w:color="auto"/>
      </w:pBdr>
      <w:shd w:val="clear" w:color="auto" w:fill="FFFFFF"/>
      <w:tabs>
        <w:tab w:val="right" w:pos="5812"/>
        <w:tab w:val="right" w:pos="6237"/>
        <w:tab w:val="right" w:pos="6521"/>
        <w:tab w:val="right" w:pos="6946"/>
        <w:tab w:val="right" w:pos="7230"/>
        <w:tab w:val="right" w:pos="8364"/>
      </w:tabs>
      <w:bidi w:val="0"/>
      <w:spacing w:after="0" w:line="240" w:lineRule="auto"/>
      <w:ind w:left="28"/>
      <w:rPr>
        <w:b/>
        <w:bCs/>
      </w:rPr>
    </w:pPr>
    <w:r w:rsidRPr="00F06A48">
      <w:rPr>
        <w:rFonts w:asciiTheme="majorBidi" w:hAnsiTheme="majorBidi" w:cstheme="majorBidi"/>
        <w:b/>
        <w:bCs/>
      </w:rPr>
      <w:t>Vol. 22 No. 2 july</w:t>
    </w:r>
    <w:r w:rsidRPr="00581351">
      <w:rPr>
        <w:b/>
        <w:bCs/>
      </w:rPr>
      <w:t xml:space="preserve"> 2018</w:t>
    </w:r>
    <w:r>
      <w:rPr>
        <w:b/>
        <w:bCs/>
      </w:rPr>
      <w:t xml:space="preserve">                                </w:t>
    </w:r>
    <w:r w:rsidRPr="000D56B0">
      <w:rPr>
        <w:rFonts w:asciiTheme="majorBidi" w:hAnsiTheme="majorBidi" w:cstheme="majorBidi"/>
        <w:b/>
        <w:bCs/>
        <w:sz w:val="20"/>
        <w:szCs w:val="20"/>
        <w:lang w:bidi="ar-EG"/>
      </w:rPr>
      <w:t>Marwa. A. Mahmoud</w:t>
    </w:r>
  </w:p>
  <w:p w:rsidR="00F06A48" w:rsidRPr="008C2CA0" w:rsidRDefault="00F06A48" w:rsidP="00F06A48">
    <w:pPr>
      <w:pStyle w:val="Header"/>
      <w:tabs>
        <w:tab w:val="clear" w:pos="4153"/>
        <w:tab w:val="clear" w:pos="8306"/>
        <w:tab w:val="left" w:pos="5160"/>
      </w:tabs>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C11BD"/>
    <w:multiLevelType w:val="hybridMultilevel"/>
    <w:tmpl w:val="5DB8C89A"/>
    <w:lvl w:ilvl="0" w:tplc="ED3E07F4">
      <w:start w:val="1"/>
      <w:numFmt w:val="decimal"/>
      <w:lvlText w:val="%1-"/>
      <w:lvlJc w:val="left"/>
      <w:pPr>
        <w:ind w:left="76" w:hanging="360"/>
      </w:pPr>
      <w:rPr>
        <w:rFonts w:hint="default"/>
        <w:b/>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nsid w:val="75A8735F"/>
    <w:multiLevelType w:val="hybridMultilevel"/>
    <w:tmpl w:val="AEEAC44E"/>
    <w:lvl w:ilvl="0" w:tplc="B77A435C">
      <w:start w:val="1"/>
      <w:numFmt w:val="upperRoman"/>
      <w:lvlText w:val="%1."/>
      <w:lvlJc w:val="righ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A2121"/>
    <w:rsid w:val="00006130"/>
    <w:rsid w:val="000B30E0"/>
    <w:rsid w:val="000D56B0"/>
    <w:rsid w:val="000D7476"/>
    <w:rsid w:val="000F744D"/>
    <w:rsid w:val="001109B6"/>
    <w:rsid w:val="00132BF1"/>
    <w:rsid w:val="001A0013"/>
    <w:rsid w:val="00220CBB"/>
    <w:rsid w:val="00224944"/>
    <w:rsid w:val="002D26E9"/>
    <w:rsid w:val="002D7896"/>
    <w:rsid w:val="00360049"/>
    <w:rsid w:val="00361BCE"/>
    <w:rsid w:val="00372384"/>
    <w:rsid w:val="00380A7F"/>
    <w:rsid w:val="0039330F"/>
    <w:rsid w:val="003C0589"/>
    <w:rsid w:val="004725DD"/>
    <w:rsid w:val="004C67C2"/>
    <w:rsid w:val="004E0511"/>
    <w:rsid w:val="00555B6E"/>
    <w:rsid w:val="00613711"/>
    <w:rsid w:val="00637386"/>
    <w:rsid w:val="006674B4"/>
    <w:rsid w:val="006F1760"/>
    <w:rsid w:val="0072706D"/>
    <w:rsid w:val="007826A7"/>
    <w:rsid w:val="007A2121"/>
    <w:rsid w:val="007B4C14"/>
    <w:rsid w:val="00864A21"/>
    <w:rsid w:val="008C2CA0"/>
    <w:rsid w:val="009175C7"/>
    <w:rsid w:val="009509C1"/>
    <w:rsid w:val="00960F70"/>
    <w:rsid w:val="009A3F09"/>
    <w:rsid w:val="009E31A1"/>
    <w:rsid w:val="00B1137C"/>
    <w:rsid w:val="00C74EEA"/>
    <w:rsid w:val="00CF317C"/>
    <w:rsid w:val="00DE4325"/>
    <w:rsid w:val="00DF7EB4"/>
    <w:rsid w:val="00E02E7D"/>
    <w:rsid w:val="00EB1BB6"/>
    <w:rsid w:val="00EC3EB3"/>
    <w:rsid w:val="00ED119F"/>
    <w:rsid w:val="00F06A48"/>
    <w:rsid w:val="00F167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1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5DD"/>
    <w:pPr>
      <w:ind w:left="720"/>
      <w:contextualSpacing/>
    </w:pPr>
  </w:style>
  <w:style w:type="table" w:styleId="TableGrid">
    <w:name w:val="Table Grid"/>
    <w:basedOn w:val="TableNormal"/>
    <w:uiPriority w:val="59"/>
    <w:rsid w:val="00613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D26E9"/>
    <w:rPr>
      <w:color w:val="0000FF" w:themeColor="hyperlink"/>
      <w:u w:val="single"/>
    </w:rPr>
  </w:style>
  <w:style w:type="paragraph" w:styleId="Header">
    <w:name w:val="header"/>
    <w:basedOn w:val="Normal"/>
    <w:link w:val="HeaderChar"/>
    <w:uiPriority w:val="99"/>
    <w:semiHidden/>
    <w:unhideWhenUsed/>
    <w:rsid w:val="009175C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175C7"/>
  </w:style>
  <w:style w:type="paragraph" w:styleId="Footer">
    <w:name w:val="footer"/>
    <w:basedOn w:val="Normal"/>
    <w:link w:val="FooterChar"/>
    <w:uiPriority w:val="99"/>
    <w:semiHidden/>
    <w:unhideWhenUsed/>
    <w:rsid w:val="009175C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175C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002/ajh.%2024826"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0494C-7558-4576-A051-DFE20F48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6</Pages>
  <Words>2242</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20</cp:revision>
  <cp:lastPrinted>2018-03-07T23:15:00Z</cp:lastPrinted>
  <dcterms:created xsi:type="dcterms:W3CDTF">2018-02-11T19:32:00Z</dcterms:created>
  <dcterms:modified xsi:type="dcterms:W3CDTF">2018-07-12T07:41:00Z</dcterms:modified>
</cp:coreProperties>
</file>